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8E937">
      <w:pPr>
        <w:ind w:right="105" w:rightChars="50"/>
        <w:rPr>
          <w:rFonts w:ascii="宋体" w:hAnsi="宋体"/>
          <w:sz w:val="72"/>
          <w:szCs w:val="72"/>
        </w:rPr>
      </w:pPr>
      <w:bookmarkStart w:id="46" w:name="_GoBack"/>
      <w:bookmarkEnd w:id="46"/>
    </w:p>
    <w:p w14:paraId="7E21F263">
      <w:pPr>
        <w:autoSpaceDE w:val="0"/>
        <w:autoSpaceDN w:val="0"/>
        <w:adjustRightInd w:val="0"/>
        <w:ind w:right="105" w:rightChars="50"/>
        <w:jc w:val="center"/>
        <w:rPr>
          <w:rFonts w:ascii="微软雅黑" w:hAnsi="微软雅黑" w:eastAsia="微软雅黑"/>
          <w:b/>
          <w:sz w:val="52"/>
          <w:szCs w:val="52"/>
        </w:rPr>
      </w:pPr>
      <w:r>
        <w:rPr>
          <w:rFonts w:hint="eastAsia" w:ascii="宋体" w:hAnsi="宋体"/>
          <w:sz w:val="52"/>
          <w:szCs w:val="52"/>
          <w:lang w:eastAsia="zh-CN"/>
        </w:rPr>
        <w:t>扬州市第三人民医院</w:t>
      </w:r>
      <w:r>
        <w:rPr>
          <w:rFonts w:hint="eastAsia" w:ascii="宋体" w:hAnsi="宋体" w:eastAsia="宋体" w:cs="Times New Roman"/>
          <w:sz w:val="52"/>
          <w:szCs w:val="52"/>
          <w:lang w:val="en-US" w:eastAsia="zh-CN"/>
        </w:rPr>
        <w:t>科研试剂耗材采购管理平台项目</w:t>
      </w:r>
      <w:r>
        <w:rPr>
          <w:rFonts w:hint="eastAsia" w:ascii="宋体" w:hAnsi="宋体"/>
          <w:sz w:val="52"/>
          <w:szCs w:val="52"/>
        </w:rPr>
        <w:t>招标</w:t>
      </w:r>
    </w:p>
    <w:p w14:paraId="7BEA47C4">
      <w:pPr>
        <w:topLinePunct/>
        <w:spacing w:line="600" w:lineRule="exact"/>
        <w:ind w:firstLine="300" w:firstLineChars="100"/>
        <w:rPr>
          <w:rFonts w:hint="eastAsia" w:ascii="宋体" w:hAnsi="宋体"/>
          <w:sz w:val="30"/>
          <w:szCs w:val="30"/>
        </w:rPr>
      </w:pPr>
    </w:p>
    <w:p w14:paraId="6947F4F8">
      <w:pPr>
        <w:spacing w:line="360" w:lineRule="auto"/>
        <w:jc w:val="both"/>
        <w:rPr>
          <w:rFonts w:hint="default" w:ascii="宋体" w:hAnsi="宋体" w:eastAsia="宋体" w:cs="Times New Roman"/>
          <w:sz w:val="30"/>
          <w:szCs w:val="30"/>
          <w:lang w:val="en-US" w:eastAsia="zh-CN"/>
        </w:rPr>
      </w:pPr>
      <w:r>
        <w:rPr>
          <w:rFonts w:hint="eastAsia" w:ascii="宋体" w:hAnsi="宋体"/>
          <w:sz w:val="30"/>
          <w:szCs w:val="30"/>
        </w:rPr>
        <w:t>项目名称：</w:t>
      </w:r>
      <w:bookmarkStart w:id="0" w:name="OLE_LINK15"/>
      <w:bookmarkStart w:id="1" w:name="OLE_LINK16"/>
      <w:r>
        <w:rPr>
          <w:rFonts w:hint="eastAsia" w:ascii="宋体" w:hAnsi="宋体" w:cs="Times New Roman"/>
          <w:sz w:val="30"/>
          <w:szCs w:val="30"/>
          <w:lang w:val="en-US" w:eastAsia="zh-CN"/>
        </w:rPr>
        <w:t>扬州市第三人民医院</w:t>
      </w:r>
      <w:r>
        <w:rPr>
          <w:rFonts w:hint="eastAsia" w:ascii="宋体" w:hAnsi="宋体" w:eastAsia="宋体" w:cs="Times New Roman"/>
          <w:sz w:val="30"/>
          <w:szCs w:val="30"/>
          <w:lang w:val="en-US" w:eastAsia="zh-CN"/>
        </w:rPr>
        <w:t>科研试剂耗材采购管理平台项目</w:t>
      </w:r>
    </w:p>
    <w:bookmarkEnd w:id="0"/>
    <w:bookmarkEnd w:id="1"/>
    <w:p w14:paraId="44DA56E7">
      <w:pPr>
        <w:topLinePunct/>
        <w:spacing w:line="600" w:lineRule="exact"/>
        <w:rPr>
          <w:rFonts w:hint="default" w:ascii="宋体" w:hAnsi="宋体" w:eastAsia="宋体"/>
          <w:sz w:val="30"/>
          <w:szCs w:val="30"/>
          <w:lang w:val="en-US" w:eastAsia="zh-CN"/>
        </w:rPr>
      </w:pPr>
      <w:r>
        <w:rPr>
          <w:rFonts w:hint="eastAsia" w:ascii="宋体" w:hAnsi="宋体"/>
          <w:sz w:val="30"/>
          <w:szCs w:val="30"/>
        </w:rPr>
        <w:t>项目编号：</w:t>
      </w:r>
      <w:r>
        <w:rPr>
          <w:rFonts w:hint="eastAsia" w:ascii="宋体" w:hAnsi="宋体" w:eastAsia="宋体" w:cs="Times New Roman"/>
          <w:sz w:val="30"/>
          <w:szCs w:val="30"/>
          <w:lang w:val="en-US" w:eastAsia="zh-CN"/>
        </w:rPr>
        <w:t>YZSY-KJK-2025-001</w:t>
      </w:r>
    </w:p>
    <w:p w14:paraId="085AB14F">
      <w:pPr>
        <w:topLinePunct/>
        <w:spacing w:line="600" w:lineRule="exact"/>
        <w:ind w:firstLine="300" w:firstLineChars="100"/>
        <w:rPr>
          <w:rFonts w:hint="eastAsia" w:ascii="宋体" w:hAnsi="宋体"/>
          <w:sz w:val="30"/>
          <w:szCs w:val="30"/>
        </w:rPr>
      </w:pPr>
    </w:p>
    <w:p w14:paraId="2F08DFFE">
      <w:pPr>
        <w:topLinePunct/>
        <w:spacing w:line="600" w:lineRule="exact"/>
        <w:rPr>
          <w:rFonts w:ascii="宋体" w:hAnsi="宋体"/>
          <w:color w:val="auto"/>
          <w:sz w:val="30"/>
          <w:szCs w:val="30"/>
        </w:rPr>
      </w:pPr>
      <w:r>
        <w:rPr>
          <w:rFonts w:hint="eastAsia" w:ascii="宋体" w:hAnsi="宋体"/>
          <w:color w:val="auto"/>
          <w:sz w:val="30"/>
          <w:szCs w:val="30"/>
        </w:rPr>
        <w:t>遴 选 人：</w:t>
      </w:r>
      <w:r>
        <w:rPr>
          <w:rFonts w:hint="eastAsia" w:ascii="宋体" w:hAnsi="宋体"/>
          <w:color w:val="auto"/>
          <w:sz w:val="30"/>
          <w:szCs w:val="30"/>
          <w:lang w:eastAsia="zh-CN"/>
        </w:rPr>
        <w:t>扬州市第三人民医院</w:t>
      </w:r>
      <w:r>
        <w:rPr>
          <w:rFonts w:hint="eastAsia" w:ascii="宋体" w:hAnsi="宋体"/>
          <w:color w:val="auto"/>
          <w:sz w:val="30"/>
          <w:szCs w:val="30"/>
        </w:rPr>
        <w:t xml:space="preserve">  </w:t>
      </w:r>
    </w:p>
    <w:p w14:paraId="68F22DCD">
      <w:pPr>
        <w:topLinePunct/>
        <w:spacing w:line="600" w:lineRule="exact"/>
        <w:rPr>
          <w:rFonts w:ascii="宋体" w:hAnsi="宋体"/>
          <w:color w:val="auto"/>
          <w:sz w:val="30"/>
          <w:szCs w:val="30"/>
        </w:rPr>
      </w:pPr>
      <w:r>
        <w:rPr>
          <w:rFonts w:hint="eastAsia" w:ascii="宋体" w:hAnsi="宋体"/>
          <w:color w:val="auto"/>
          <w:sz w:val="30"/>
          <w:szCs w:val="30"/>
        </w:rPr>
        <w:t>日    期：2025年</w:t>
      </w:r>
      <w:r>
        <w:rPr>
          <w:rFonts w:hint="eastAsia" w:ascii="宋体" w:hAnsi="宋体"/>
          <w:color w:val="auto"/>
          <w:sz w:val="30"/>
          <w:szCs w:val="30"/>
          <w:lang w:val="en-US" w:eastAsia="zh-CN"/>
        </w:rPr>
        <w:t>11</w:t>
      </w:r>
      <w:r>
        <w:rPr>
          <w:rFonts w:hint="eastAsia" w:ascii="宋体" w:hAnsi="宋体"/>
          <w:color w:val="auto"/>
          <w:sz w:val="30"/>
          <w:szCs w:val="30"/>
        </w:rPr>
        <w:t>月</w:t>
      </w:r>
      <w:r>
        <w:rPr>
          <w:rFonts w:hint="eastAsia" w:ascii="宋体" w:hAnsi="宋体"/>
          <w:color w:val="auto"/>
          <w:sz w:val="30"/>
          <w:szCs w:val="30"/>
          <w:lang w:val="en-US" w:eastAsia="zh-CN"/>
        </w:rPr>
        <w:t>27</w:t>
      </w:r>
      <w:r>
        <w:rPr>
          <w:rFonts w:hint="eastAsia" w:ascii="宋体" w:hAnsi="宋体"/>
          <w:color w:val="auto"/>
          <w:sz w:val="30"/>
          <w:szCs w:val="30"/>
        </w:rPr>
        <w:t>日</w:t>
      </w:r>
    </w:p>
    <w:p w14:paraId="27145668">
      <w:pPr>
        <w:spacing w:line="560" w:lineRule="exact"/>
        <w:jc w:val="center"/>
        <w:rPr>
          <w:rFonts w:ascii="宋体" w:hAnsi="宋体" w:cs="Arial"/>
          <w:sz w:val="32"/>
          <w:szCs w:val="32"/>
        </w:rPr>
      </w:pPr>
    </w:p>
    <w:p w14:paraId="6838DC93">
      <w:pPr>
        <w:pStyle w:val="19"/>
        <w:spacing w:line="520" w:lineRule="exact"/>
        <w:ind w:firstLine="480" w:firstLineChars="200"/>
        <w:rPr>
          <w:rFonts w:ascii="宋体" w:hAnsi="宋体" w:eastAsia="宋体"/>
          <w:sz w:val="24"/>
        </w:rPr>
      </w:pPr>
    </w:p>
    <w:p w14:paraId="0E736EF6">
      <w:pPr>
        <w:spacing w:line="560" w:lineRule="exact"/>
        <w:jc w:val="center"/>
        <w:rPr>
          <w:rFonts w:ascii="宋体" w:hAnsi="宋体" w:cs="Arial"/>
          <w:color w:val="000000"/>
          <w:sz w:val="32"/>
          <w:szCs w:val="32"/>
        </w:rPr>
      </w:pPr>
    </w:p>
    <w:p w14:paraId="3DBB861C">
      <w:pPr>
        <w:spacing w:line="560" w:lineRule="exact"/>
        <w:jc w:val="center"/>
        <w:rPr>
          <w:rFonts w:ascii="宋体" w:hAnsi="宋体" w:cs="Arial"/>
          <w:color w:val="000000"/>
          <w:sz w:val="32"/>
          <w:szCs w:val="32"/>
        </w:rPr>
      </w:pPr>
    </w:p>
    <w:p w14:paraId="55F07500">
      <w:pPr>
        <w:spacing w:line="560" w:lineRule="exact"/>
        <w:jc w:val="center"/>
        <w:rPr>
          <w:rFonts w:ascii="宋体" w:hAnsi="宋体" w:cs="Arial"/>
          <w:color w:val="000000"/>
          <w:sz w:val="32"/>
          <w:szCs w:val="32"/>
        </w:rPr>
      </w:pPr>
    </w:p>
    <w:p w14:paraId="43F5B8E7">
      <w:pPr>
        <w:spacing w:line="560" w:lineRule="exact"/>
        <w:jc w:val="center"/>
        <w:rPr>
          <w:rFonts w:hint="eastAsia" w:ascii="宋体" w:hAnsi="宋体" w:cs="Arial"/>
          <w:color w:val="000000"/>
          <w:sz w:val="32"/>
          <w:szCs w:val="32"/>
        </w:rPr>
      </w:pPr>
    </w:p>
    <w:p w14:paraId="3BCFB986">
      <w:pPr>
        <w:spacing w:line="560" w:lineRule="exact"/>
        <w:jc w:val="center"/>
        <w:rPr>
          <w:rFonts w:hint="eastAsia" w:ascii="宋体" w:hAnsi="宋体" w:cs="Arial"/>
          <w:color w:val="000000"/>
          <w:sz w:val="32"/>
          <w:szCs w:val="32"/>
        </w:rPr>
      </w:pPr>
    </w:p>
    <w:p w14:paraId="3ED8FAB8">
      <w:pPr>
        <w:spacing w:line="560" w:lineRule="exact"/>
        <w:jc w:val="center"/>
        <w:rPr>
          <w:rFonts w:hint="eastAsia" w:ascii="宋体" w:hAnsi="宋体" w:cs="Arial"/>
          <w:color w:val="000000"/>
          <w:sz w:val="32"/>
          <w:szCs w:val="32"/>
        </w:rPr>
      </w:pPr>
    </w:p>
    <w:p w14:paraId="79EB820B">
      <w:pPr>
        <w:spacing w:line="560" w:lineRule="exact"/>
        <w:jc w:val="center"/>
        <w:rPr>
          <w:rFonts w:hint="eastAsia" w:ascii="宋体" w:hAnsi="宋体" w:cs="Arial"/>
          <w:color w:val="000000"/>
          <w:sz w:val="32"/>
          <w:szCs w:val="32"/>
        </w:rPr>
      </w:pPr>
    </w:p>
    <w:p w14:paraId="5C46B2EA">
      <w:pPr>
        <w:spacing w:line="520" w:lineRule="exact"/>
        <w:rPr>
          <w:rFonts w:hint="eastAsia" w:ascii="宋体" w:hAnsi="宋体" w:cs="Arial"/>
          <w:color w:val="000000"/>
          <w:sz w:val="32"/>
          <w:szCs w:val="32"/>
        </w:rPr>
      </w:pPr>
    </w:p>
    <w:p w14:paraId="3ECFFB6B">
      <w:pPr>
        <w:spacing w:line="520" w:lineRule="exact"/>
        <w:rPr>
          <w:rFonts w:hint="eastAsia" w:ascii="宋体" w:hAnsi="宋体"/>
          <w:sz w:val="52"/>
          <w:szCs w:val="21"/>
        </w:rPr>
      </w:pPr>
    </w:p>
    <w:p w14:paraId="00BDAFF2">
      <w:pPr>
        <w:spacing w:line="520" w:lineRule="exact"/>
        <w:rPr>
          <w:rFonts w:hint="eastAsia" w:ascii="宋体" w:hAnsi="宋体"/>
          <w:sz w:val="52"/>
          <w:szCs w:val="21"/>
        </w:rPr>
      </w:pPr>
    </w:p>
    <w:p w14:paraId="5F36AEB2">
      <w:pPr>
        <w:spacing w:line="520" w:lineRule="exact"/>
        <w:rPr>
          <w:rFonts w:ascii="宋体"/>
          <w:b/>
          <w:sz w:val="28"/>
          <w:szCs w:val="28"/>
        </w:rPr>
      </w:pPr>
    </w:p>
    <w:p w14:paraId="16992E4E">
      <w:pPr>
        <w:jc w:val="center"/>
        <w:rPr>
          <w:rFonts w:hint="eastAsia" w:ascii="宋体" w:hAnsi="宋体" w:cs="宋体"/>
          <w:b/>
          <w:bCs/>
          <w:sz w:val="52"/>
          <w:szCs w:val="56"/>
        </w:rPr>
      </w:pPr>
      <w:r>
        <w:rPr>
          <w:rFonts w:hint="eastAsia" w:ascii="宋体" w:hAnsi="宋体" w:cs="宋体"/>
          <w:b/>
          <w:bCs/>
          <w:sz w:val="52"/>
          <w:szCs w:val="56"/>
        </w:rPr>
        <w:t>目录</w:t>
      </w:r>
    </w:p>
    <w:p w14:paraId="6ACFFAFC">
      <w:pPr>
        <w:pStyle w:val="23"/>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_Toc1021 </w:instrText>
      </w:r>
      <w:r>
        <w:rPr>
          <w:rFonts w:hint="eastAsia" w:ascii="宋体" w:hAnsi="宋体" w:cs="宋体"/>
          <w:sz w:val="28"/>
          <w:szCs w:val="28"/>
        </w:rPr>
        <w:fldChar w:fldCharType="separate"/>
      </w:r>
      <w:r>
        <w:rPr>
          <w:rFonts w:hint="eastAsia" w:ascii="宋体" w:hAnsi="宋体" w:cs="宋体"/>
          <w:sz w:val="28"/>
          <w:szCs w:val="28"/>
        </w:rPr>
        <w:t xml:space="preserve">第一部分 </w:t>
      </w:r>
      <w:r>
        <w:rPr>
          <w:rFonts w:hint="eastAsia" w:ascii="宋体" w:hAnsi="宋体" w:cs="宋体"/>
          <w:sz w:val="28"/>
          <w:szCs w:val="28"/>
          <w:lang w:val="en-US" w:eastAsia="zh-CN"/>
        </w:rPr>
        <w:t xml:space="preserve"> </w:t>
      </w:r>
      <w:r>
        <w:rPr>
          <w:rFonts w:hint="eastAsia" w:ascii="宋体" w:hAnsi="宋体" w:cs="宋体"/>
          <w:sz w:val="28"/>
          <w:szCs w:val="28"/>
        </w:rPr>
        <w:t>招标</w:t>
      </w:r>
      <w:r>
        <w:rPr>
          <w:rFonts w:hint="eastAsia" w:ascii="宋体" w:hAnsi="宋体" w:cs="宋体"/>
          <w:sz w:val="28"/>
          <w:szCs w:val="28"/>
          <w:lang w:eastAsia="zh-CN"/>
        </w:rPr>
        <w:t>公告</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p>
    <w:p w14:paraId="0DE634D4">
      <w:pPr>
        <w:pStyle w:val="23"/>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_Toc18014 </w:instrText>
      </w:r>
      <w:r>
        <w:rPr>
          <w:rFonts w:hint="eastAsia" w:ascii="宋体" w:hAnsi="宋体" w:cs="宋体"/>
          <w:sz w:val="28"/>
          <w:szCs w:val="28"/>
        </w:rPr>
        <w:fldChar w:fldCharType="separate"/>
      </w:r>
      <w:r>
        <w:rPr>
          <w:rFonts w:hint="eastAsia" w:ascii="宋体" w:hAnsi="宋体" w:cs="宋体"/>
          <w:sz w:val="28"/>
          <w:szCs w:val="28"/>
        </w:rPr>
        <w:t>第二部分  响应须知</w:t>
      </w:r>
      <w:r>
        <w:rPr>
          <w:rFonts w:hint="eastAsia" w:ascii="宋体" w:hAnsi="宋体" w:cs="宋体"/>
          <w:sz w:val="28"/>
          <w:szCs w:val="28"/>
        </w:rPr>
        <w:tab/>
      </w:r>
      <w:r>
        <w:rPr>
          <w:rFonts w:hint="eastAsia" w:ascii="宋体" w:hAnsi="宋体" w:cs="宋体"/>
          <w:sz w:val="28"/>
          <w:szCs w:val="28"/>
          <w:lang w:val="en-US" w:eastAsia="zh-CN"/>
        </w:rPr>
        <w:t>3</w:t>
      </w:r>
      <w:r>
        <w:rPr>
          <w:rFonts w:hint="eastAsia" w:ascii="宋体" w:hAnsi="宋体" w:cs="宋体"/>
          <w:sz w:val="28"/>
          <w:szCs w:val="28"/>
        </w:rPr>
        <w:fldChar w:fldCharType="end"/>
      </w:r>
    </w:p>
    <w:p w14:paraId="5CB95F86">
      <w:pPr>
        <w:pStyle w:val="23"/>
        <w:tabs>
          <w:tab w:val="right" w:leader="dot" w:pos="8306"/>
        </w:tabs>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_Toc11403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第三部分  项目需求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0</w:t>
      </w:r>
    </w:p>
    <w:p w14:paraId="2B55649B">
      <w:pPr>
        <w:pStyle w:val="23"/>
        <w:tabs>
          <w:tab w:val="right" w:leader="dot" w:pos="8306"/>
        </w:tabs>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_Toc32199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第四部分  评审办法</w:t>
      </w:r>
      <w:r>
        <w:rPr>
          <w:rFonts w:hint="eastAsia" w:ascii="宋体" w:hAnsi="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0677B6CA">
      <w:pPr>
        <w:pStyle w:val="23"/>
        <w:tabs>
          <w:tab w:val="right" w:leader="dot" w:pos="8306"/>
        </w:tabs>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_Toc7099 </w:instrText>
      </w:r>
      <w:r>
        <w:rPr>
          <w:rFonts w:hint="eastAsia" w:ascii="宋体" w:hAnsi="宋体" w:cs="宋体"/>
          <w:sz w:val="28"/>
          <w:szCs w:val="28"/>
        </w:rPr>
        <w:fldChar w:fldCharType="separate"/>
      </w:r>
      <w:r>
        <w:rPr>
          <w:rFonts w:hint="eastAsia" w:ascii="宋体" w:hAnsi="宋体" w:cs="宋体"/>
          <w:sz w:val="28"/>
          <w:szCs w:val="28"/>
          <w:highlight w:val="white"/>
        </w:rPr>
        <w:t>第五部分</w:t>
      </w:r>
      <w:r>
        <w:rPr>
          <w:rFonts w:hint="eastAsia" w:ascii="宋体" w:hAnsi="宋体" w:cs="宋体"/>
          <w:sz w:val="28"/>
          <w:szCs w:val="28"/>
        </w:rPr>
        <w:t xml:space="preserve">  响应文件格式</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4</w:t>
      </w:r>
    </w:p>
    <w:p w14:paraId="2AD573A0">
      <w:pPr>
        <w:pStyle w:val="64"/>
        <w:ind w:firstLine="560"/>
        <w:rPr>
          <w:rFonts w:hint="eastAsia" w:ascii="宋体" w:hAnsi="宋体" w:cs="宋体"/>
          <w:sz w:val="28"/>
          <w:szCs w:val="28"/>
        </w:rPr>
      </w:pPr>
      <w:r>
        <w:rPr>
          <w:rFonts w:hint="eastAsia" w:ascii="宋体" w:hAnsi="宋体" w:cs="宋体"/>
          <w:sz w:val="28"/>
          <w:szCs w:val="28"/>
        </w:rPr>
        <w:fldChar w:fldCharType="end"/>
      </w:r>
    </w:p>
    <w:p w14:paraId="14BC0CA2">
      <w:pPr>
        <w:pStyle w:val="64"/>
        <w:rPr>
          <w:rFonts w:hint="eastAsia"/>
        </w:rPr>
      </w:pPr>
    </w:p>
    <w:p w14:paraId="7009C717">
      <w:pPr>
        <w:spacing w:line="520" w:lineRule="exact"/>
        <w:rPr>
          <w:rFonts w:hint="eastAsia" w:ascii="宋体"/>
          <w:b/>
          <w:sz w:val="52"/>
        </w:rPr>
      </w:pPr>
    </w:p>
    <w:p w14:paraId="28DF7507">
      <w:pPr>
        <w:spacing w:line="520" w:lineRule="exact"/>
        <w:rPr>
          <w:rFonts w:hint="eastAsia" w:ascii="宋体"/>
          <w:b/>
          <w:sz w:val="52"/>
        </w:rPr>
      </w:pPr>
    </w:p>
    <w:p w14:paraId="678F1D52">
      <w:pPr>
        <w:spacing w:line="520" w:lineRule="exact"/>
        <w:rPr>
          <w:rFonts w:hint="eastAsia" w:ascii="宋体"/>
          <w:b/>
          <w:sz w:val="52"/>
        </w:rPr>
      </w:pPr>
    </w:p>
    <w:p w14:paraId="7809697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b/>
          <w:sz w:val="36"/>
          <w:szCs w:val="36"/>
        </w:rPr>
        <w:sectPr>
          <w:headerReference r:id="rId3" w:type="default"/>
          <w:pgSz w:w="11906" w:h="16838"/>
          <w:pgMar w:top="1440" w:right="1800" w:bottom="1440" w:left="1800" w:header="851" w:footer="992" w:gutter="0"/>
          <w:pgNumType w:start="1"/>
          <w:cols w:space="720" w:num="1"/>
          <w:docGrid w:type="lines" w:linePitch="312" w:charSpace="0"/>
        </w:sectPr>
      </w:pPr>
      <w:bookmarkStart w:id="2" w:name="_Toc1021"/>
    </w:p>
    <w:p w14:paraId="799308A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宋体" w:hAnsi="宋体" w:eastAsia="宋体" w:cs="Times New Roman"/>
          <w:kern w:val="2"/>
          <w:sz w:val="21"/>
          <w:szCs w:val="36"/>
          <w:highlight w:val="none"/>
          <w:lang w:val="en-US" w:eastAsia="zh-CN" w:bidi="ar-SA"/>
        </w:rPr>
      </w:pPr>
    </w:p>
    <w:p w14:paraId="7669DCD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b/>
          <w:sz w:val="36"/>
          <w:szCs w:val="36"/>
          <w:highlight w:val="none"/>
          <w:lang w:eastAsia="zh-CN"/>
        </w:rPr>
      </w:pPr>
      <w:bookmarkStart w:id="3" w:name="_Toc2511"/>
      <w:r>
        <w:rPr>
          <w:rFonts w:hint="eastAsia" w:ascii="宋体" w:hAnsi="宋体"/>
          <w:b/>
          <w:sz w:val="36"/>
          <w:szCs w:val="36"/>
          <w:highlight w:val="none"/>
        </w:rPr>
        <w:t>第一部分 招标</w:t>
      </w:r>
      <w:bookmarkEnd w:id="2"/>
      <w:r>
        <w:rPr>
          <w:rFonts w:hint="eastAsia" w:ascii="宋体" w:hAnsi="宋体"/>
          <w:b/>
          <w:sz w:val="36"/>
          <w:szCs w:val="36"/>
          <w:highlight w:val="none"/>
          <w:lang w:eastAsia="zh-CN"/>
        </w:rPr>
        <w:t>公告</w:t>
      </w:r>
      <w:bookmarkEnd w:id="3"/>
    </w:p>
    <w:p w14:paraId="327C5858">
      <w:pPr>
        <w:keepNext w:val="0"/>
        <w:keepLines w:val="0"/>
        <w:pageBreakBefore w:val="0"/>
        <w:widowControl w:val="0"/>
        <w:kinsoku/>
        <w:wordWrap/>
        <w:overflowPunct/>
        <w:bidi w:val="0"/>
        <w:snapToGrid/>
        <w:spacing w:line="400" w:lineRule="exact"/>
        <w:textAlignment w:val="auto"/>
        <w:rPr>
          <w:rFonts w:hint="eastAsia" w:asciiTheme="minorEastAsia" w:hAnsiTheme="minorEastAsia" w:eastAsiaTheme="minorEastAsia" w:cstheme="minorEastAsia"/>
          <w:sz w:val="24"/>
          <w:szCs w:val="24"/>
        </w:rPr>
      </w:pPr>
      <w:bookmarkStart w:id="4" w:name="OLE_LINK2"/>
      <w:bookmarkStart w:id="5" w:name="OLE_LINK3"/>
      <w:bookmarkStart w:id="6" w:name="OLE_LINK4"/>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en-US" w:eastAsia="zh-CN"/>
        </w:rPr>
        <w:t>参与投标</w:t>
      </w:r>
      <w:r>
        <w:rPr>
          <w:rFonts w:hint="eastAsia" w:asciiTheme="minorEastAsia" w:hAnsiTheme="minorEastAsia" w:eastAsiaTheme="minorEastAsia" w:cstheme="minorEastAsia"/>
          <w:sz w:val="24"/>
          <w:szCs w:val="24"/>
        </w:rPr>
        <w:t>公司：</w:t>
      </w:r>
    </w:p>
    <w:p w14:paraId="0EFD3606">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bookmarkStart w:id="7" w:name="OLE_LINK1"/>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现就</w:t>
      </w:r>
      <w:r>
        <w:rPr>
          <w:rFonts w:hint="eastAsia" w:asciiTheme="minorEastAsia" w:hAnsiTheme="minorEastAsia" w:eastAsiaTheme="minorEastAsia" w:cstheme="minorEastAsia"/>
          <w:sz w:val="24"/>
          <w:szCs w:val="24"/>
          <w:lang w:val="en-US" w:eastAsia="zh-CN"/>
        </w:rPr>
        <w:t>科研试剂耗材采购管理平台项目</w:t>
      </w:r>
      <w:r>
        <w:rPr>
          <w:rFonts w:hint="eastAsia" w:asciiTheme="minorEastAsia" w:hAnsiTheme="minorEastAsia" w:eastAsiaTheme="minorEastAsia" w:cstheme="minorEastAsia"/>
          <w:sz w:val="24"/>
          <w:szCs w:val="24"/>
        </w:rPr>
        <w:t>进行公开招标，欢迎合格公司参与投标。</w:t>
      </w:r>
    </w:p>
    <w:p w14:paraId="6AE11EE5">
      <w:pPr>
        <w:pStyle w:val="19"/>
        <w:keepNext w:val="0"/>
        <w:keepLines w:val="0"/>
        <w:pageBreakBefore w:val="0"/>
        <w:widowControl w:val="0"/>
        <w:kinsoku/>
        <w:wordWrap/>
        <w:overflowPunct/>
        <w:bidi w:val="0"/>
        <w:snapToGrid/>
        <w:spacing w:line="400" w:lineRule="exact"/>
        <w:ind w:firstLine="482" w:firstLineChars="200"/>
        <w:jc w:val="both"/>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一、项目名称及编号</w:t>
      </w:r>
    </w:p>
    <w:p w14:paraId="22EE79B5">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val="en-US" w:eastAsia="zh-CN"/>
        </w:rPr>
        <w:t>扬州市第三人民医院科研试剂耗材采购管理平台项目</w:t>
      </w:r>
    </w:p>
    <w:p w14:paraId="724E2E10">
      <w:pPr>
        <w:keepNext w:val="0"/>
        <w:keepLines w:val="0"/>
        <w:pageBreakBefore w:val="0"/>
        <w:widowControl w:val="0"/>
        <w:kinsoku/>
        <w:wordWrap/>
        <w:overflowPunct/>
        <w:topLine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2、项目编号：</w:t>
      </w:r>
      <w:r>
        <w:rPr>
          <w:rFonts w:hint="eastAsia" w:asciiTheme="minorEastAsia" w:hAnsiTheme="minorEastAsia" w:eastAsiaTheme="minorEastAsia" w:cstheme="minorEastAsia"/>
          <w:kern w:val="2"/>
          <w:sz w:val="24"/>
          <w:szCs w:val="24"/>
          <w:lang w:val="en-US" w:eastAsia="zh-CN" w:bidi="ar-SA"/>
        </w:rPr>
        <w:t>YZSY-KJK-2025-001</w:t>
      </w:r>
    </w:p>
    <w:p w14:paraId="66E556EF">
      <w:pPr>
        <w:keepNext w:val="0"/>
        <w:keepLines w:val="0"/>
        <w:pageBreakBefore w:val="0"/>
        <w:widowControl w:val="0"/>
        <w:kinsoku/>
        <w:wordWrap/>
        <w:overflowPunct/>
        <w:topLinePunct/>
        <w:bidi w:val="0"/>
        <w:snapToGrid/>
        <w:spacing w:line="400" w:lineRule="exact"/>
        <w:ind w:firstLine="482" w:firstLineChars="200"/>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二、项目简要说明</w:t>
      </w:r>
    </w:p>
    <w:p w14:paraId="0CA9A98B">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8" w:name="EB9076963b694f4defa1e0710aaf4b1bae"/>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现就</w:t>
      </w:r>
      <w:r>
        <w:rPr>
          <w:rFonts w:hint="eastAsia" w:asciiTheme="minorEastAsia" w:hAnsiTheme="minorEastAsia" w:eastAsiaTheme="minorEastAsia" w:cstheme="minorEastAsia"/>
          <w:sz w:val="24"/>
          <w:szCs w:val="24"/>
          <w:lang w:val="en-US" w:eastAsia="zh-CN"/>
        </w:rPr>
        <w:t>扬州市第三人民医院科研试剂耗材采购管理平台项目</w:t>
      </w:r>
      <w:r>
        <w:rPr>
          <w:rFonts w:hint="eastAsia" w:asciiTheme="minorEastAsia" w:hAnsiTheme="minorEastAsia" w:eastAsiaTheme="minorEastAsia" w:cstheme="minorEastAsia"/>
          <w:sz w:val="24"/>
          <w:szCs w:val="24"/>
        </w:rPr>
        <w:t>进行公开招标。招标范围：</w:t>
      </w:r>
      <w:r>
        <w:rPr>
          <w:rFonts w:hint="eastAsia" w:asciiTheme="minorEastAsia" w:hAnsiTheme="minorEastAsia" w:eastAsiaTheme="minorEastAsia" w:cstheme="minorEastAsia"/>
          <w:sz w:val="24"/>
          <w:szCs w:val="24"/>
          <w:lang w:val="en-US" w:eastAsia="zh-CN"/>
        </w:rPr>
        <w:t>可提供科研试剂耗材采购管理平台</w:t>
      </w:r>
      <w:r>
        <w:rPr>
          <w:rFonts w:hint="eastAsia" w:asciiTheme="minorEastAsia" w:hAnsiTheme="minorEastAsia" w:eastAsiaTheme="minorEastAsia" w:cstheme="minorEastAsia"/>
          <w:sz w:val="24"/>
          <w:szCs w:val="24"/>
        </w:rPr>
        <w:t>。</w:t>
      </w:r>
    </w:p>
    <w:p w14:paraId="09E1866D">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2、服务内容：具体见项目需求。</w:t>
      </w:r>
    </w:p>
    <w:p w14:paraId="013C4B5F">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3、评标办法：本项目采用综合评分法。</w:t>
      </w:r>
    </w:p>
    <w:bookmarkEnd w:id="8"/>
    <w:p w14:paraId="5559E6A8">
      <w:pPr>
        <w:pStyle w:val="19"/>
        <w:keepNext w:val="0"/>
        <w:keepLines w:val="0"/>
        <w:pageBreakBefore w:val="0"/>
        <w:widowControl w:val="0"/>
        <w:kinsoku/>
        <w:wordWrap/>
        <w:overflowPunct/>
        <w:bidi w:val="0"/>
        <w:snapToGrid/>
        <w:spacing w:line="400" w:lineRule="exact"/>
        <w:ind w:firstLine="482" w:firstLineChars="200"/>
        <w:jc w:val="both"/>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三、合格招标公司资格要求</w:t>
      </w:r>
    </w:p>
    <w:p w14:paraId="312629DE">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（一）提供以下证明材料</w:t>
      </w:r>
    </w:p>
    <w:p w14:paraId="753C1901">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法定代表人或其授权代理人签署的响应函；</w:t>
      </w:r>
    </w:p>
    <w:p w14:paraId="07255F79">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2、法人代表证明或法定代表人授权委托书原件及法人代表和授权委托人身份证复印件；</w:t>
      </w:r>
    </w:p>
    <w:p w14:paraId="02CC11FB">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kern w:val="0"/>
          <w:sz w:val="24"/>
          <w:szCs w:val="24"/>
        </w:rPr>
        <w:t>法人或者其他组织营业执照副本；</w:t>
      </w:r>
    </w:p>
    <w:p w14:paraId="163B6C92">
      <w:pPr>
        <w:keepNext w:val="0"/>
        <w:keepLines w:val="0"/>
        <w:pageBreakBefore w:val="0"/>
        <w:widowControl w:val="0"/>
        <w:kinsoku/>
        <w:wordWrap/>
        <w:overflowPunct/>
        <w:bidi w:val="0"/>
        <w:snapToGrid/>
        <w:spacing w:line="400" w:lineRule="exact"/>
        <w:ind w:firstLine="480" w:firstLineChars="200"/>
        <w:contextualSpacing/>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4、2023年度或2024年度的财务状况报表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经第三方审计的财务报告或银行出具的资信证明，成立不满一年的不需提供）；</w:t>
      </w:r>
    </w:p>
    <w:p w14:paraId="719B1C56">
      <w:pPr>
        <w:keepNext w:val="0"/>
        <w:keepLines w:val="0"/>
        <w:pageBreakBefore w:val="0"/>
        <w:widowControl w:val="0"/>
        <w:kinsoku/>
        <w:wordWrap/>
        <w:overflowPunct/>
        <w:bidi w:val="0"/>
        <w:snapToGrid/>
        <w:spacing w:line="400" w:lineRule="exact"/>
        <w:ind w:firstLine="480" w:firstLineChars="200"/>
        <w:contextualSpacing/>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5、2024年1月份以来任意一月依法缴纳税收和社会保障资金的相关材料（指代理公司依法缴纳税收和社会保障资金的凭据）；</w:t>
      </w:r>
    </w:p>
    <w:p w14:paraId="3BFC496B">
      <w:pPr>
        <w:keepNext w:val="0"/>
        <w:keepLines w:val="0"/>
        <w:pageBreakBefore w:val="0"/>
        <w:widowControl w:val="0"/>
        <w:kinsoku/>
        <w:wordWrap/>
        <w:overflowPunct/>
        <w:autoSpaceDE w:val="0"/>
        <w:autoSpaceDN w:val="0"/>
        <w:bidi w:val="0"/>
        <w:adjustRightInd w:val="0"/>
        <w:snapToGrid/>
        <w:spacing w:line="400" w:lineRule="exact"/>
        <w:ind w:firstLine="465"/>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6、参加政府</w:t>
      </w:r>
      <w:bookmarkStart w:id="9" w:name="OLE_LINK9"/>
      <w:bookmarkStart w:id="10" w:name="OLE_LINK10"/>
      <w:r>
        <w:rPr>
          <w:rFonts w:hint="eastAsia" w:asciiTheme="minorEastAsia" w:hAnsiTheme="minorEastAsia" w:eastAsiaTheme="minorEastAsia" w:cstheme="minorEastAsia"/>
          <w:kern w:val="0"/>
          <w:sz w:val="24"/>
          <w:szCs w:val="24"/>
        </w:rPr>
        <w:t>采购活动前3 年内（自招标文件发出之日起计算）在经营活动中没有重大违</w:t>
      </w:r>
      <w:bookmarkEnd w:id="9"/>
      <w:bookmarkEnd w:id="10"/>
      <w:r>
        <w:rPr>
          <w:rFonts w:hint="eastAsia" w:asciiTheme="minorEastAsia" w:hAnsiTheme="minorEastAsia" w:eastAsiaTheme="minorEastAsia" w:cstheme="minorEastAsia"/>
          <w:kern w:val="0"/>
          <w:sz w:val="24"/>
          <w:szCs w:val="24"/>
        </w:rPr>
        <w:t>法记录的书面声明</w:t>
      </w:r>
      <w:r>
        <w:rPr>
          <w:rFonts w:hint="eastAsia" w:asciiTheme="minorEastAsia" w:hAnsiTheme="minorEastAsia" w:eastAsiaTheme="minorEastAsia" w:cstheme="minorEastAsia"/>
          <w:kern w:val="0"/>
          <w:sz w:val="24"/>
          <w:szCs w:val="24"/>
          <w:lang w:eastAsia="zh-CN"/>
        </w:rPr>
        <w:t>。</w:t>
      </w:r>
    </w:p>
    <w:p w14:paraId="3E9DE1B6">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（二）未被列入失信被执行人、重大税收违法案件当事人名单、政府采购严重违法失信行为记录名单（以本公告“四、响应人信用信息”查询结果为准）。</w:t>
      </w:r>
    </w:p>
    <w:p w14:paraId="36CE2EEF">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（三）本项目不接受联合体响应</w:t>
      </w:r>
    </w:p>
    <w:p w14:paraId="551AF9D7">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单位负责人为同一人或存在控股、管理关系的不同供应商，不得参加本项目同一合同项下的招标活动。否则，相关招标申请均将被拒绝。</w:t>
      </w:r>
    </w:p>
    <w:bookmarkEnd w:id="4"/>
    <w:bookmarkEnd w:id="7"/>
    <w:p w14:paraId="4AF56069">
      <w:pPr>
        <w:keepNext w:val="0"/>
        <w:keepLines w:val="0"/>
        <w:pageBreakBefore w:val="0"/>
        <w:widowControl w:val="0"/>
        <w:kinsoku/>
        <w:wordWrap/>
        <w:overflowPunct/>
        <w:bidi w:val="0"/>
        <w:snapToGrid/>
        <w:spacing w:line="400" w:lineRule="exact"/>
        <w:ind w:firstLine="482" w:firstLineChars="200"/>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四、响应人信用信息</w:t>
      </w:r>
    </w:p>
    <w:p w14:paraId="62E684BD">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11" w:name="EB9e6dce6793cb41cca0a716f513793ffa"/>
      <w:r>
        <w:rPr>
          <w:rFonts w:hint="eastAsia" w:asciiTheme="minorEastAsia" w:hAnsiTheme="minorEastAsia" w:eastAsiaTheme="minorEastAsia" w:cstheme="minorEastAsia"/>
          <w:sz w:val="24"/>
          <w:szCs w:val="24"/>
        </w:rPr>
        <w:t>（一）信用信息查询渠道为：“信用中国”网（www.creditchina.gov.cn）、“中国政府采购”网（www.ccgp.gov.cn）、扬州市政府采购网（http://zfcg.yangzhou.gov.cn/）。</w:t>
      </w:r>
    </w:p>
    <w:p w14:paraId="32A42070">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（二）信用信息查询截止时点：资格审查结束前。</w:t>
      </w:r>
    </w:p>
    <w:p w14:paraId="319008D9">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信用信息查询记录和证据留存的方式：由招标人在招标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433F8958">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（四）信用信息的使用规则：招标人对响应人信用记录进行甄别，对列入失信被执行人、重大税收违法案件当事人名单、政府采购严重违法失信行为记录名单，拒绝其参与招标活动。</w:t>
      </w:r>
      <w:bookmarkEnd w:id="11"/>
    </w:p>
    <w:p w14:paraId="15009D78">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五、报名及招标文件获取信息</w:t>
      </w:r>
    </w:p>
    <w:p w14:paraId="0A1BD6A1">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1、报名时间： 2025年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szCs w:val="24"/>
          <w14:textFill>
            <w14:solidFill>
              <w14:schemeClr w14:val="tx1"/>
            </w14:solidFill>
          </w14:textFill>
        </w:rPr>
        <w:t>日起至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日1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时止，每天8:00-11:30，14:00-17: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0（节假日除外）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21E8F8A">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2、报名方式：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t>请将企业营业执照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（传图片）</w:t>
      </w: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、联系人及电话发送至邮箱：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yzsykjk@sina.com</w:t>
      </w:r>
      <w:r>
        <w:rPr>
          <w:rFonts w:hint="eastAsia" w:asciiTheme="minorEastAsia" w:hAnsiTheme="minorEastAsia" w:eastAsiaTheme="minorEastAsia" w:cstheme="minorEastAsia"/>
          <w:color w:val="000000" w:themeColor="text1"/>
          <w:sz w:val="24"/>
          <w:szCs w:val="24"/>
          <w14:textFill>
            <w14:solidFill>
              <w14:schemeClr w14:val="tx1"/>
            </w14:solidFill>
          </w14:textFill>
        </w:rPr>
        <w:t>。标题注明报名的项目名称及本公司名称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F31168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3、招标文件获取方式：招标文件见附件，请自行免费下载。</w:t>
      </w:r>
    </w:p>
    <w:p w14:paraId="217F5680">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六、响应文件接收信息</w:t>
      </w:r>
    </w:p>
    <w:p w14:paraId="003239C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1、响应文件开始接收时间：2025年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日14:00</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5B4917D1">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2、响应文件接收截止时间及招标时间：2025年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日14:30</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4E16D2C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3、响应文件接收及</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开</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标地点：扬州市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邗江区杨庙镇苍颉路</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2号扬州市第三人民医院1号楼4楼小会议室。</w:t>
      </w:r>
    </w:p>
    <w:p w14:paraId="77045652">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七、联系事项</w:t>
      </w:r>
    </w:p>
    <w:p w14:paraId="2D92A7FB">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FF0000"/>
          <w:kern w:val="0"/>
          <w:sz w:val="24"/>
          <w:szCs w:val="24"/>
          <w:lang w:val="en-US" w:eastAsia="zh-CN"/>
        </w:rPr>
      </w:pPr>
      <w:r>
        <w:rPr>
          <w:rFonts w:hint="eastAsia" w:asciiTheme="minorEastAsia" w:hAnsiTheme="minorEastAsia" w:eastAsiaTheme="minorEastAsia" w:cstheme="minorEastAsia"/>
          <w:kern w:val="0"/>
          <w:sz w:val="24"/>
          <w:szCs w:val="24"/>
        </w:rPr>
        <w:t>联系人：</w:t>
      </w:r>
      <w:r>
        <w:rPr>
          <w:rFonts w:hint="eastAsia" w:asciiTheme="minorEastAsia" w:hAnsiTheme="minorEastAsia" w:eastAsiaTheme="minorEastAsia" w:cstheme="minorEastAsia"/>
          <w:kern w:val="0"/>
          <w:sz w:val="24"/>
          <w:szCs w:val="24"/>
          <w:lang w:val="en-US" w:eastAsia="zh-CN"/>
        </w:rPr>
        <w:t>杨德超</w:t>
      </w:r>
    </w:p>
    <w:p w14:paraId="468920C7">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联系电话：0514-</w:t>
      </w:r>
      <w:r>
        <w:rPr>
          <w:rFonts w:hint="eastAsia" w:asciiTheme="minorEastAsia" w:hAnsiTheme="minorEastAsia" w:eastAsiaTheme="minorEastAsia" w:cstheme="minorEastAsia"/>
          <w:kern w:val="0"/>
          <w:sz w:val="24"/>
          <w:szCs w:val="24"/>
          <w:lang w:val="en-US" w:eastAsia="zh-CN"/>
        </w:rPr>
        <w:t>87837875、13952752330</w:t>
      </w:r>
    </w:p>
    <w:p w14:paraId="1057E073">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联系地址：</w:t>
      </w:r>
      <w:r>
        <w:rPr>
          <w:rFonts w:hint="eastAsia" w:asciiTheme="minorEastAsia" w:hAnsiTheme="minorEastAsia" w:eastAsiaTheme="minorEastAsia" w:cstheme="minorEastAsia"/>
          <w:kern w:val="0"/>
          <w:sz w:val="24"/>
          <w:szCs w:val="24"/>
          <w:lang w:eastAsia="zh-CN"/>
        </w:rPr>
        <w:t>扬州市第三人民医院</w:t>
      </w:r>
      <w:r>
        <w:rPr>
          <w:rFonts w:hint="eastAsia" w:asciiTheme="minorEastAsia" w:hAnsiTheme="minorEastAsia" w:eastAsiaTheme="minorEastAsia" w:cstheme="minorEastAsia"/>
          <w:kern w:val="0"/>
          <w:sz w:val="24"/>
          <w:szCs w:val="24"/>
          <w:lang w:val="en-US" w:eastAsia="zh-CN"/>
        </w:rPr>
        <w:t>科教科</w:t>
      </w:r>
    </w:p>
    <w:p w14:paraId="677F707D">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八、公告期限及其他事项</w:t>
      </w:r>
    </w:p>
    <w:p w14:paraId="4ACD6A8E">
      <w:pPr>
        <w:keepNext w:val="0"/>
        <w:keepLines w:val="0"/>
        <w:pageBreakBefore w:val="0"/>
        <w:widowControl w:val="0"/>
        <w:kinsoku/>
        <w:wordWrap/>
        <w:overflowPunct/>
        <w:bidi w:val="0"/>
        <w:snapToGrid/>
        <w:spacing w:line="400" w:lineRule="exact"/>
        <w:ind w:firstLine="352" w:firstLineChars="147"/>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1．本招标公告（招标文件公告）期限，为本招标公告（招标文件公告）发布之日起五个工作日。</w:t>
      </w:r>
    </w:p>
    <w:p w14:paraId="6ABD5D06">
      <w:pPr>
        <w:keepNext w:val="0"/>
        <w:keepLines w:val="0"/>
        <w:pageBreakBefore w:val="0"/>
        <w:widowControl w:val="0"/>
        <w:kinsoku/>
        <w:wordWrap/>
        <w:overflowPunct/>
        <w:bidi w:val="0"/>
        <w:snapToGrid/>
        <w:spacing w:line="400" w:lineRule="exact"/>
        <w:ind w:firstLine="352" w:firstLineChars="147"/>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2．以上内容如有变动，将在相关网络媒体上另行通知。</w:t>
      </w:r>
    </w:p>
    <w:p w14:paraId="563EAC31">
      <w:pPr>
        <w:keepNext w:val="0"/>
        <w:keepLines w:val="0"/>
        <w:pageBreakBefore w:val="0"/>
        <w:widowControl w:val="0"/>
        <w:kinsoku/>
        <w:wordWrap/>
        <w:overflowPunct/>
        <w:bidi w:val="0"/>
        <w:snapToGrid/>
        <w:spacing w:line="400" w:lineRule="exact"/>
        <w:ind w:right="960" w:firstLine="200"/>
        <w:jc w:val="righ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FF"/>
          <w:sz w:val="24"/>
          <w:szCs w:val="24"/>
          <w:highlight w:val="white"/>
        </w:rPr>
        <w:t xml:space="preserve">                              </w:t>
      </w:r>
      <w:r>
        <w:rPr>
          <w:rFonts w:hint="eastAsia" w:asciiTheme="minorEastAsia" w:hAnsiTheme="minorEastAsia" w:eastAsiaTheme="minorEastAsia" w:cstheme="minorEastAsia"/>
          <w:color w:val="000000" w:themeColor="text1"/>
          <w:sz w:val="24"/>
          <w:szCs w:val="24"/>
          <w:highlight w:val="whit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扬州市第三人民医院</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14:paraId="3C68BB72">
      <w:pPr>
        <w:keepNext w:val="0"/>
        <w:keepLines w:val="0"/>
        <w:pageBreakBefore w:val="0"/>
        <w:widowControl w:val="0"/>
        <w:kinsoku/>
        <w:wordWrap/>
        <w:overflowPunct/>
        <w:bidi w:val="0"/>
        <w:snapToGrid/>
        <w:spacing w:line="400" w:lineRule="exact"/>
        <w:ind w:right="960" w:firstLine="200"/>
        <w:jc w:val="center"/>
        <w:textAlignment w:val="auto"/>
        <w:rPr>
          <w:rFonts w:hint="eastAsia" w:asciiTheme="minorEastAsia" w:hAnsiTheme="minorEastAsia" w:eastAsiaTheme="minorEastAsia" w:cstheme="minorEastAsia"/>
          <w:kern w:val="0"/>
          <w:sz w:val="24"/>
          <w:szCs w:val="24"/>
        </w:rPr>
      </w:pPr>
      <w:bookmarkStart w:id="12" w:name="EBc34483d5650b4e63ba1e7b68d2910faa"/>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bookmarkEnd w:id="5"/>
      <w:bookmarkEnd w:id="12"/>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w:t>
      </w:r>
    </w:p>
    <w:bookmarkEnd w:id="6"/>
    <w:p w14:paraId="41A2134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54A7BFA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b/>
          <w:sz w:val="36"/>
          <w:szCs w:val="36"/>
        </w:rPr>
      </w:pPr>
    </w:p>
    <w:p w14:paraId="791089B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48B853E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457E8BE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7301D0E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2FDBE18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b/>
          <w:sz w:val="36"/>
          <w:szCs w:val="36"/>
        </w:rPr>
      </w:pPr>
      <w:bookmarkStart w:id="13" w:name="_Toc18014"/>
      <w:bookmarkStart w:id="14" w:name="_Toc29690"/>
      <w:r>
        <w:rPr>
          <w:rFonts w:hint="eastAsia" w:ascii="宋体" w:hAnsi="宋体"/>
          <w:b/>
          <w:sz w:val="36"/>
          <w:szCs w:val="36"/>
        </w:rPr>
        <w:t>第二部分   响应须知</w:t>
      </w:r>
      <w:bookmarkEnd w:id="13"/>
      <w:bookmarkEnd w:id="14"/>
    </w:p>
    <w:p w14:paraId="5706A92C">
      <w:pPr>
        <w:spacing w:line="440" w:lineRule="exact"/>
        <w:ind w:right="105" w:rightChars="50"/>
        <w:rPr>
          <w:rFonts w:ascii="宋体" w:hAnsi="宋体"/>
          <w:b/>
          <w:bCs/>
          <w:sz w:val="24"/>
        </w:rPr>
      </w:pPr>
      <w:r>
        <w:rPr>
          <w:rFonts w:hint="eastAsia" w:ascii="宋体" w:hAnsi="宋体"/>
          <w:b/>
          <w:bCs/>
          <w:sz w:val="24"/>
        </w:rPr>
        <w:t>前附表</w:t>
      </w:r>
    </w:p>
    <w:tbl>
      <w:tblPr>
        <w:tblStyle w:val="3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37B1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9" w:type="dxa"/>
            <w:vAlign w:val="center"/>
          </w:tcPr>
          <w:p w14:paraId="22BDB409">
            <w:pPr>
              <w:spacing w:line="440" w:lineRule="exact"/>
              <w:ind w:right="105" w:rightChars="50"/>
              <w:rPr>
                <w:rFonts w:ascii="宋体" w:hAnsi="宋体"/>
                <w:b/>
                <w:bCs/>
                <w:sz w:val="24"/>
              </w:rPr>
            </w:pPr>
            <w:r>
              <w:rPr>
                <w:rFonts w:hint="eastAsia" w:ascii="宋体" w:hAnsi="宋体"/>
                <w:b/>
                <w:bCs/>
                <w:sz w:val="24"/>
              </w:rPr>
              <w:t>序号</w:t>
            </w:r>
          </w:p>
        </w:tc>
        <w:tc>
          <w:tcPr>
            <w:tcW w:w="1843" w:type="dxa"/>
            <w:vAlign w:val="top"/>
          </w:tcPr>
          <w:p w14:paraId="7DF28BA4">
            <w:pPr>
              <w:spacing w:line="440" w:lineRule="exact"/>
              <w:ind w:right="105" w:rightChars="50"/>
              <w:jc w:val="center"/>
              <w:rPr>
                <w:rFonts w:ascii="宋体" w:hAnsi="宋体"/>
                <w:b/>
                <w:bCs/>
                <w:sz w:val="24"/>
              </w:rPr>
            </w:pPr>
            <w:r>
              <w:rPr>
                <w:rFonts w:hint="eastAsia" w:ascii="宋体" w:hAnsi="宋体"/>
                <w:b/>
                <w:bCs/>
                <w:sz w:val="24"/>
              </w:rPr>
              <w:t>内容</w:t>
            </w:r>
          </w:p>
        </w:tc>
        <w:tc>
          <w:tcPr>
            <w:tcW w:w="6441" w:type="dxa"/>
            <w:vAlign w:val="center"/>
          </w:tcPr>
          <w:p w14:paraId="7B021B61">
            <w:pPr>
              <w:spacing w:line="440" w:lineRule="exact"/>
              <w:ind w:right="105" w:rightChars="50"/>
              <w:jc w:val="center"/>
              <w:rPr>
                <w:rFonts w:ascii="宋体" w:hAnsi="宋体"/>
                <w:b/>
                <w:bCs/>
                <w:sz w:val="24"/>
              </w:rPr>
            </w:pPr>
            <w:r>
              <w:rPr>
                <w:rFonts w:hint="eastAsia" w:ascii="宋体" w:hAnsi="宋体"/>
                <w:b/>
                <w:bCs/>
                <w:sz w:val="24"/>
              </w:rPr>
              <w:t>说明及要求</w:t>
            </w:r>
          </w:p>
        </w:tc>
      </w:tr>
      <w:tr w14:paraId="573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9" w:type="dxa"/>
            <w:vAlign w:val="center"/>
          </w:tcPr>
          <w:p w14:paraId="08264E09">
            <w:pPr>
              <w:spacing w:line="440" w:lineRule="exact"/>
              <w:ind w:right="105" w:rightChars="50"/>
              <w:jc w:val="center"/>
              <w:rPr>
                <w:rFonts w:ascii="宋体" w:hAnsi="宋体"/>
                <w:sz w:val="28"/>
                <w:szCs w:val="28"/>
              </w:rPr>
            </w:pPr>
            <w:r>
              <w:rPr>
                <w:rFonts w:hint="eastAsia" w:ascii="宋体" w:hAnsi="宋体"/>
                <w:sz w:val="28"/>
                <w:szCs w:val="28"/>
              </w:rPr>
              <w:t>1</w:t>
            </w:r>
          </w:p>
        </w:tc>
        <w:tc>
          <w:tcPr>
            <w:tcW w:w="1843" w:type="dxa"/>
            <w:vAlign w:val="center"/>
          </w:tcPr>
          <w:p w14:paraId="00B73788">
            <w:pPr>
              <w:topLinePunct/>
              <w:spacing w:line="440" w:lineRule="exact"/>
              <w:ind w:firstLine="241" w:firstLineChars="100"/>
              <w:rPr>
                <w:rFonts w:ascii="宋体" w:hAnsi="宋体"/>
                <w:b/>
                <w:sz w:val="24"/>
              </w:rPr>
            </w:pPr>
            <w:r>
              <w:rPr>
                <w:rFonts w:hint="eastAsia" w:ascii="宋体" w:hAnsi="宋体"/>
                <w:b/>
                <w:sz w:val="24"/>
              </w:rPr>
              <w:t>项目名称</w:t>
            </w:r>
          </w:p>
        </w:tc>
        <w:tc>
          <w:tcPr>
            <w:tcW w:w="6441" w:type="dxa"/>
            <w:vAlign w:val="center"/>
          </w:tcPr>
          <w:p w14:paraId="2042B7D3">
            <w:pPr>
              <w:topLinePunct/>
              <w:spacing w:line="440" w:lineRule="exact"/>
              <w:rPr>
                <w:rFonts w:ascii="宋体" w:hAnsi="宋体"/>
                <w:sz w:val="24"/>
              </w:rPr>
            </w:pPr>
            <w:r>
              <w:rPr>
                <w:rFonts w:hint="eastAsia" w:ascii="宋体" w:hAnsi="宋体" w:cs="Times New Roman"/>
                <w:sz w:val="24"/>
                <w:lang w:val="en-US" w:eastAsia="zh-CN"/>
              </w:rPr>
              <w:t>扬州市第三人民医院</w:t>
            </w:r>
            <w:r>
              <w:rPr>
                <w:rFonts w:hint="eastAsia" w:ascii="宋体" w:hAnsi="宋体" w:eastAsia="宋体" w:cs="Times New Roman"/>
                <w:sz w:val="24"/>
                <w:lang w:val="en-US" w:eastAsia="zh-CN"/>
              </w:rPr>
              <w:t>科研试剂耗材采购管理平台项目</w:t>
            </w:r>
            <w:r>
              <w:rPr>
                <w:rFonts w:hint="eastAsia" w:ascii="宋体" w:hAnsi="宋体"/>
                <w:sz w:val="24"/>
              </w:rPr>
              <w:t>招标</w:t>
            </w:r>
          </w:p>
        </w:tc>
      </w:tr>
      <w:tr w14:paraId="453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vAlign w:val="center"/>
          </w:tcPr>
          <w:p w14:paraId="5C7C332A">
            <w:pPr>
              <w:spacing w:line="440" w:lineRule="exact"/>
              <w:ind w:right="105" w:rightChars="50"/>
              <w:jc w:val="center"/>
              <w:rPr>
                <w:rFonts w:ascii="宋体" w:hAnsi="宋体"/>
                <w:sz w:val="28"/>
                <w:szCs w:val="28"/>
              </w:rPr>
            </w:pPr>
            <w:r>
              <w:rPr>
                <w:rFonts w:hint="eastAsia" w:ascii="宋体" w:hAnsi="宋体"/>
                <w:sz w:val="28"/>
                <w:szCs w:val="28"/>
              </w:rPr>
              <w:t>2</w:t>
            </w:r>
          </w:p>
        </w:tc>
        <w:tc>
          <w:tcPr>
            <w:tcW w:w="1843" w:type="dxa"/>
            <w:vAlign w:val="center"/>
          </w:tcPr>
          <w:p w14:paraId="70A1614E">
            <w:pPr>
              <w:spacing w:line="440" w:lineRule="exact"/>
              <w:ind w:right="105" w:rightChars="50"/>
              <w:jc w:val="center"/>
              <w:rPr>
                <w:rFonts w:ascii="宋体" w:hAnsi="宋体"/>
                <w:b/>
                <w:sz w:val="24"/>
              </w:rPr>
            </w:pPr>
            <w:r>
              <w:rPr>
                <w:rFonts w:hint="eastAsia" w:ascii="宋体" w:hAnsi="宋体"/>
                <w:b/>
                <w:sz w:val="24"/>
              </w:rPr>
              <w:t>项目编号</w:t>
            </w:r>
          </w:p>
        </w:tc>
        <w:tc>
          <w:tcPr>
            <w:tcW w:w="6441" w:type="dxa"/>
            <w:vAlign w:val="center"/>
          </w:tcPr>
          <w:p w14:paraId="1D1CE94A">
            <w:pPr>
              <w:spacing w:line="440" w:lineRule="exact"/>
              <w:ind w:right="105" w:rightChars="50"/>
              <w:jc w:val="left"/>
              <w:rPr>
                <w:rFonts w:ascii="宋体" w:hAnsi="宋体"/>
                <w:b/>
                <w:sz w:val="24"/>
              </w:rPr>
            </w:pPr>
            <w:r>
              <w:rPr>
                <w:rFonts w:hint="eastAsia" w:ascii="宋体" w:hAnsi="宋体" w:eastAsia="宋体" w:cs="Times New Roman"/>
                <w:kern w:val="2"/>
                <w:sz w:val="24"/>
                <w:szCs w:val="24"/>
                <w:lang w:val="en-US" w:eastAsia="zh-CN" w:bidi="ar-SA"/>
              </w:rPr>
              <w:t>YZSY-KJK-2025-001</w:t>
            </w:r>
          </w:p>
        </w:tc>
      </w:tr>
      <w:tr w14:paraId="761E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vAlign w:val="center"/>
          </w:tcPr>
          <w:p w14:paraId="2F27CC89">
            <w:pPr>
              <w:spacing w:line="440" w:lineRule="exact"/>
              <w:ind w:right="105" w:rightChars="50"/>
              <w:jc w:val="center"/>
              <w:rPr>
                <w:rFonts w:ascii="宋体" w:hAnsi="宋体"/>
                <w:sz w:val="28"/>
                <w:szCs w:val="28"/>
              </w:rPr>
            </w:pPr>
            <w:r>
              <w:rPr>
                <w:rFonts w:hint="eastAsia" w:ascii="宋体" w:hAnsi="宋体"/>
                <w:sz w:val="28"/>
                <w:szCs w:val="28"/>
              </w:rPr>
              <w:t>3</w:t>
            </w:r>
          </w:p>
        </w:tc>
        <w:tc>
          <w:tcPr>
            <w:tcW w:w="1843" w:type="dxa"/>
            <w:vAlign w:val="center"/>
          </w:tcPr>
          <w:p w14:paraId="2CB5F09D">
            <w:pPr>
              <w:spacing w:line="440" w:lineRule="exact"/>
              <w:ind w:right="105" w:rightChars="50"/>
              <w:jc w:val="center"/>
              <w:rPr>
                <w:rFonts w:ascii="宋体" w:hAnsi="宋体"/>
                <w:b/>
                <w:sz w:val="24"/>
              </w:rPr>
            </w:pPr>
            <w:r>
              <w:rPr>
                <w:rFonts w:hint="eastAsia" w:ascii="宋体" w:hAnsi="宋体"/>
                <w:b/>
                <w:sz w:val="24"/>
              </w:rPr>
              <w:t>响应有效期</w:t>
            </w:r>
          </w:p>
        </w:tc>
        <w:tc>
          <w:tcPr>
            <w:tcW w:w="6441" w:type="dxa"/>
            <w:vAlign w:val="center"/>
          </w:tcPr>
          <w:p w14:paraId="7331CC87">
            <w:pPr>
              <w:spacing w:line="440" w:lineRule="exact"/>
              <w:ind w:right="105" w:rightChars="50"/>
              <w:jc w:val="left"/>
              <w:rPr>
                <w:rFonts w:ascii="宋体" w:hAnsi="宋体"/>
                <w:sz w:val="24"/>
              </w:rPr>
            </w:pPr>
            <w:r>
              <w:rPr>
                <w:rFonts w:hint="eastAsia" w:ascii="宋体" w:hAnsi="宋体"/>
                <w:sz w:val="24"/>
              </w:rPr>
              <w:t>代理公司提交响应文件截止之日起</w:t>
            </w:r>
            <w:r>
              <w:rPr>
                <w:rFonts w:hint="eastAsia" w:ascii="宋体" w:hAnsi="宋体"/>
                <w:sz w:val="24"/>
                <w:u w:val="single"/>
              </w:rPr>
              <w:t>60</w:t>
            </w:r>
            <w:r>
              <w:rPr>
                <w:rFonts w:hint="eastAsia" w:ascii="宋体" w:hAnsi="宋体"/>
                <w:sz w:val="24"/>
              </w:rPr>
              <w:t>天。</w:t>
            </w:r>
          </w:p>
        </w:tc>
      </w:tr>
      <w:tr w14:paraId="6EAA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9" w:type="dxa"/>
            <w:vAlign w:val="center"/>
          </w:tcPr>
          <w:p w14:paraId="2D083029">
            <w:pPr>
              <w:spacing w:line="440" w:lineRule="exact"/>
              <w:ind w:right="105" w:rightChars="50"/>
              <w:jc w:val="center"/>
              <w:rPr>
                <w:rFonts w:ascii="宋体" w:hAnsi="宋体"/>
                <w:sz w:val="28"/>
                <w:szCs w:val="28"/>
              </w:rPr>
            </w:pPr>
            <w:r>
              <w:rPr>
                <w:rFonts w:hint="eastAsia" w:ascii="宋体" w:hAnsi="宋体"/>
                <w:sz w:val="28"/>
                <w:szCs w:val="28"/>
              </w:rPr>
              <w:t>4</w:t>
            </w:r>
          </w:p>
        </w:tc>
        <w:tc>
          <w:tcPr>
            <w:tcW w:w="1843" w:type="dxa"/>
            <w:vAlign w:val="center"/>
          </w:tcPr>
          <w:p w14:paraId="5162D523">
            <w:pPr>
              <w:spacing w:line="440" w:lineRule="exact"/>
              <w:ind w:right="105" w:rightChars="50"/>
              <w:jc w:val="center"/>
              <w:rPr>
                <w:rFonts w:ascii="宋体" w:hAnsi="宋体"/>
                <w:b/>
                <w:sz w:val="24"/>
              </w:rPr>
            </w:pPr>
            <w:r>
              <w:rPr>
                <w:rFonts w:hint="eastAsia" w:ascii="宋体" w:hAnsi="宋体"/>
                <w:b/>
                <w:sz w:val="24"/>
              </w:rPr>
              <w:t>响应文件份数</w:t>
            </w:r>
          </w:p>
        </w:tc>
        <w:tc>
          <w:tcPr>
            <w:tcW w:w="6441" w:type="dxa"/>
            <w:vAlign w:val="center"/>
          </w:tcPr>
          <w:p w14:paraId="360B6128">
            <w:pPr>
              <w:spacing w:line="440" w:lineRule="exact"/>
              <w:ind w:right="105" w:rightChars="50"/>
              <w:jc w:val="left"/>
              <w:rPr>
                <w:rFonts w:ascii="宋体" w:hAnsi="宋体"/>
                <w:sz w:val="24"/>
              </w:rPr>
            </w:pPr>
            <w:r>
              <w:rPr>
                <w:rFonts w:hint="eastAsia" w:ascii="宋体" w:hAnsi="宋体"/>
                <w:sz w:val="24"/>
              </w:rPr>
              <w:t>正本1份，副本4份。</w:t>
            </w:r>
          </w:p>
        </w:tc>
      </w:tr>
      <w:tr w14:paraId="6E9D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59" w:type="dxa"/>
            <w:vAlign w:val="center"/>
          </w:tcPr>
          <w:p w14:paraId="4A0EC376">
            <w:pPr>
              <w:spacing w:line="440" w:lineRule="exact"/>
              <w:ind w:right="105" w:rightChars="50"/>
              <w:jc w:val="center"/>
              <w:rPr>
                <w:rFonts w:ascii="宋体" w:hAnsi="宋体"/>
                <w:sz w:val="28"/>
                <w:szCs w:val="28"/>
              </w:rPr>
            </w:pPr>
            <w:r>
              <w:rPr>
                <w:rFonts w:hint="eastAsia" w:ascii="宋体" w:hAnsi="宋体"/>
                <w:sz w:val="28"/>
                <w:szCs w:val="28"/>
              </w:rPr>
              <w:t>5</w:t>
            </w:r>
          </w:p>
        </w:tc>
        <w:tc>
          <w:tcPr>
            <w:tcW w:w="1843" w:type="dxa"/>
            <w:vAlign w:val="center"/>
          </w:tcPr>
          <w:p w14:paraId="75856AB5">
            <w:pPr>
              <w:spacing w:line="440" w:lineRule="exact"/>
              <w:ind w:right="105" w:rightChars="50"/>
              <w:jc w:val="center"/>
              <w:rPr>
                <w:rFonts w:ascii="宋体" w:hAnsi="宋体"/>
                <w:b/>
                <w:bCs/>
                <w:iCs/>
                <w:sz w:val="24"/>
              </w:rPr>
            </w:pPr>
            <w:r>
              <w:rPr>
                <w:rFonts w:hint="eastAsia" w:ascii="宋体" w:hAnsi="宋体"/>
                <w:b/>
                <w:bCs/>
                <w:iCs/>
                <w:sz w:val="24"/>
              </w:rPr>
              <w:t>其他说明</w:t>
            </w:r>
          </w:p>
        </w:tc>
        <w:tc>
          <w:tcPr>
            <w:tcW w:w="6441" w:type="dxa"/>
            <w:vAlign w:val="center"/>
          </w:tcPr>
          <w:p w14:paraId="2FA23E4C">
            <w:pPr>
              <w:spacing w:line="440" w:lineRule="exact"/>
              <w:ind w:right="105" w:rightChars="50"/>
              <w:jc w:val="left"/>
              <w:rPr>
                <w:rFonts w:ascii="宋体" w:hAnsi="宋体"/>
                <w:bCs/>
                <w:sz w:val="24"/>
              </w:rPr>
            </w:pPr>
            <w:r>
              <w:rPr>
                <w:rFonts w:hint="eastAsia" w:ascii="宋体" w:hAnsi="宋体"/>
                <w:bCs/>
                <w:iCs/>
                <w:sz w:val="24"/>
              </w:rPr>
              <w:t>代理公司须在规定的时间和地点准</w:t>
            </w:r>
            <w:r>
              <w:rPr>
                <w:rFonts w:hint="eastAsia" w:ascii="宋体" w:hAnsi="宋体"/>
                <w:bCs/>
                <w:iCs/>
                <w:color w:val="auto"/>
                <w:sz w:val="24"/>
              </w:rPr>
              <w:t>时参加招标（如不参加现场开标，视同认可评审结果），</w:t>
            </w:r>
            <w:r>
              <w:rPr>
                <w:rFonts w:hint="eastAsia" w:ascii="宋体" w:hAnsi="宋体"/>
                <w:bCs/>
                <w:iCs/>
                <w:sz w:val="24"/>
              </w:rPr>
              <w:t>并在</w:t>
            </w:r>
            <w:r>
              <w:rPr>
                <w:rFonts w:hint="eastAsia" w:ascii="宋体" w:hAnsi="宋体"/>
                <w:bCs/>
                <w:sz w:val="24"/>
              </w:rPr>
              <w:t>响应文件接收截止时间前提供以下资料：</w:t>
            </w:r>
          </w:p>
          <w:p w14:paraId="07ADF14D">
            <w:pPr>
              <w:spacing w:line="440" w:lineRule="exact"/>
              <w:ind w:right="105" w:rightChars="50"/>
              <w:jc w:val="left"/>
              <w:rPr>
                <w:rFonts w:ascii="宋体" w:hAnsi="宋体"/>
                <w:bCs/>
                <w:iCs/>
                <w:sz w:val="24"/>
              </w:rPr>
            </w:pPr>
            <w:r>
              <w:rPr>
                <w:rFonts w:hint="eastAsia" w:ascii="宋体" w:hAnsi="宋体"/>
                <w:bCs/>
                <w:iCs/>
                <w:sz w:val="24"/>
              </w:rPr>
              <w:t>（1）响应文件（密封投送）；</w:t>
            </w:r>
            <w:r>
              <w:rPr>
                <w:rFonts w:hint="eastAsia" w:ascii="宋体" w:hAnsi="宋体"/>
                <w:sz w:val="24"/>
              </w:rPr>
              <w:t>（2）开标一览表（密封投送）（3）法人代表（或授权委托人）身份证原件（如不参加现场开标则无需提供）。</w:t>
            </w:r>
          </w:p>
        </w:tc>
      </w:tr>
      <w:tr w14:paraId="4AFD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9" w:type="dxa"/>
            <w:vAlign w:val="center"/>
          </w:tcPr>
          <w:p w14:paraId="4B38FE7D">
            <w:pPr>
              <w:spacing w:line="440" w:lineRule="exact"/>
              <w:ind w:right="105" w:rightChars="50"/>
              <w:jc w:val="center"/>
              <w:rPr>
                <w:rFonts w:ascii="宋体" w:hAnsi="宋体"/>
                <w:sz w:val="28"/>
                <w:szCs w:val="28"/>
              </w:rPr>
            </w:pPr>
            <w:r>
              <w:rPr>
                <w:rFonts w:hint="eastAsia" w:ascii="宋体" w:hAnsi="宋体"/>
                <w:sz w:val="28"/>
                <w:szCs w:val="28"/>
              </w:rPr>
              <w:t>6</w:t>
            </w:r>
          </w:p>
        </w:tc>
        <w:tc>
          <w:tcPr>
            <w:tcW w:w="1843" w:type="dxa"/>
            <w:vAlign w:val="center"/>
          </w:tcPr>
          <w:p w14:paraId="772B4137">
            <w:pPr>
              <w:spacing w:line="440" w:lineRule="exact"/>
              <w:jc w:val="center"/>
              <w:rPr>
                <w:rFonts w:ascii="宋体" w:hAnsi="宋体"/>
                <w:b/>
                <w:color w:val="000000"/>
                <w:sz w:val="24"/>
              </w:rPr>
            </w:pPr>
            <w:r>
              <w:rPr>
                <w:rFonts w:ascii="宋体" w:hAnsi="宋体"/>
                <w:b/>
                <w:color w:val="000000"/>
                <w:sz w:val="24"/>
              </w:rPr>
              <w:t>评</w:t>
            </w:r>
            <w:r>
              <w:rPr>
                <w:rFonts w:hint="eastAsia" w:ascii="宋体" w:hAnsi="宋体"/>
                <w:b/>
                <w:sz w:val="24"/>
              </w:rPr>
              <w:t>审</w:t>
            </w:r>
            <w:r>
              <w:rPr>
                <w:rFonts w:ascii="宋体" w:hAnsi="宋体"/>
                <w:b/>
                <w:sz w:val="24"/>
              </w:rPr>
              <w:t>办法</w:t>
            </w:r>
          </w:p>
        </w:tc>
        <w:tc>
          <w:tcPr>
            <w:tcW w:w="6441" w:type="dxa"/>
            <w:vAlign w:val="center"/>
          </w:tcPr>
          <w:p w14:paraId="51C0BAE6">
            <w:pPr>
              <w:spacing w:line="440" w:lineRule="exact"/>
              <w:rPr>
                <w:rFonts w:ascii="宋体" w:hAnsi="宋体"/>
                <w:b/>
                <w:sz w:val="24"/>
              </w:rPr>
            </w:pPr>
            <w:r>
              <w:rPr>
                <w:rFonts w:ascii="宋体" w:hAnsi="宋体"/>
                <w:sz w:val="24"/>
              </w:rPr>
              <w:t>采用</w:t>
            </w:r>
            <w:r>
              <w:rPr>
                <w:rFonts w:hint="eastAsia" w:ascii="宋体" w:hAnsi="宋体"/>
                <w:sz w:val="24"/>
              </w:rPr>
              <w:t>综合</w:t>
            </w:r>
            <w:r>
              <w:rPr>
                <w:rFonts w:ascii="宋体" w:hAnsi="宋体"/>
                <w:sz w:val="24"/>
              </w:rPr>
              <w:t>评分法，</w:t>
            </w:r>
            <w:r>
              <w:rPr>
                <w:rFonts w:hint="eastAsia" w:ascii="宋体" w:hAnsi="宋体"/>
                <w:sz w:val="24"/>
              </w:rPr>
              <w:t>具体细则详见招标文件评审办法部分</w:t>
            </w:r>
          </w:p>
        </w:tc>
      </w:tr>
    </w:tbl>
    <w:p w14:paraId="1DCBFB57">
      <w:pPr>
        <w:spacing w:line="440" w:lineRule="exact"/>
        <w:jc w:val="center"/>
        <w:rPr>
          <w:rFonts w:hint="eastAsia" w:ascii="宋体" w:hAnsi="宋体"/>
          <w:sz w:val="36"/>
          <w:szCs w:val="36"/>
        </w:rPr>
      </w:pPr>
    </w:p>
    <w:p w14:paraId="0ACA8AF3">
      <w:pPr>
        <w:spacing w:line="440" w:lineRule="exact"/>
        <w:jc w:val="center"/>
        <w:outlineLvl w:val="1"/>
        <w:rPr>
          <w:rFonts w:ascii="宋体" w:hAnsi="宋体"/>
          <w:sz w:val="36"/>
          <w:szCs w:val="36"/>
        </w:rPr>
      </w:pPr>
      <w:r>
        <w:rPr>
          <w:rFonts w:hint="eastAsia" w:ascii="宋体" w:hAnsi="宋体"/>
          <w:sz w:val="36"/>
          <w:szCs w:val="36"/>
        </w:rPr>
        <w:t>一、总 则</w:t>
      </w:r>
    </w:p>
    <w:p w14:paraId="13F57074">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（一）合格的响应人</w:t>
      </w:r>
    </w:p>
    <w:p w14:paraId="065515F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1．合格的响应人必须是有能力按照本招标文件规定的要求提供服务，且具有独立承担民事等法律责任的法人或其它经济组织，本次招标不接受联合体响应。</w:t>
      </w:r>
    </w:p>
    <w:p w14:paraId="5A70A62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2．合格的响应人必须符合招标文件第一部分《招标邀请函》第三条及须知前附表相关规定，且具备独立完成本项目的</w:t>
      </w:r>
      <w:r>
        <w:rPr>
          <w:rFonts w:hint="eastAsia" w:asciiTheme="minorEastAsia" w:hAnsiTheme="minorEastAsia" w:eastAsiaTheme="minorEastAsia" w:cstheme="minorEastAsia"/>
          <w:kern w:val="10"/>
          <w:sz w:val="24"/>
          <w:szCs w:val="24"/>
        </w:rPr>
        <w:t>能</w:t>
      </w:r>
      <w:r>
        <w:rPr>
          <w:rFonts w:hint="eastAsia" w:asciiTheme="minorEastAsia" w:hAnsiTheme="minorEastAsia" w:eastAsiaTheme="minorEastAsia" w:cstheme="minorEastAsia"/>
          <w:sz w:val="24"/>
          <w:szCs w:val="24"/>
        </w:rPr>
        <w:t>力，中标后不允许分包、转包。</w:t>
      </w:r>
    </w:p>
    <w:p w14:paraId="06CB2481">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（二）适用法律</w:t>
      </w:r>
    </w:p>
    <w:p w14:paraId="2E0BE1FF">
      <w:pPr>
        <w:pStyle w:val="19"/>
        <w:keepNext w:val="0"/>
        <w:keepLines w:val="0"/>
        <w:pageBreakBefore w:val="0"/>
        <w:kinsoku/>
        <w:wordWrap/>
        <w:overflowPunct/>
        <w:topLinePunct w:val="0"/>
        <w:bidi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本次招标及由本次招标产生的合同受中华人民共和国的相关法律、法规制约和保护。</w:t>
      </w:r>
    </w:p>
    <w:p w14:paraId="2CAA6FE3">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（三）招标有关费用</w:t>
      </w:r>
    </w:p>
    <w:p w14:paraId="3582384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不管招标结果如何，响应人均应自行承担参加招标活动的所有费用。</w:t>
      </w:r>
    </w:p>
    <w:p w14:paraId="4C1733F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（四）招标文件的约束力</w:t>
      </w:r>
    </w:p>
    <w:p w14:paraId="772504A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响应人一旦报名参加本项目招标活动，即被认为接受了本招标文件的所有条件和规定，并且视为自报名之日起已经知道或应当知道自身权益是否受到了损害。</w:t>
      </w:r>
    </w:p>
    <w:p w14:paraId="7E9A34C5">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二、招标文件</w:t>
      </w:r>
    </w:p>
    <w:p w14:paraId="312C6B29">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（五）招标文件构成</w:t>
      </w:r>
    </w:p>
    <w:p w14:paraId="5500A8BC">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第一部分：招标</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w:t>
      </w:r>
    </w:p>
    <w:p w14:paraId="3624F243">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第二部分：响应须知；</w:t>
      </w:r>
    </w:p>
    <w:p w14:paraId="458F0982">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第三部分：评审办法；</w:t>
      </w:r>
    </w:p>
    <w:p w14:paraId="2E4A9F4F">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第四部分：项目需求；</w:t>
      </w:r>
    </w:p>
    <w:p w14:paraId="75FF47E9">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第五部分：合同格式及条款（草案）；</w:t>
      </w:r>
    </w:p>
    <w:p w14:paraId="1DADBD2F">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第六部分：响应文件格式。</w:t>
      </w:r>
    </w:p>
    <w:p w14:paraId="30B3EEA6">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（六）招标文件的澄清</w:t>
      </w:r>
    </w:p>
    <w:p w14:paraId="14FFFED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任何要求对招标文件澄清的供应商，均应在招标文件提供截止时间之前，按</w:t>
      </w:r>
      <w:r>
        <w:rPr>
          <w:rFonts w:hint="eastAsia" w:asciiTheme="minorEastAsia" w:hAnsiTheme="minorEastAsia" w:eastAsiaTheme="minorEastAsia" w:cstheme="minorEastAsia"/>
          <w:color w:val="000000" w:themeColor="text1"/>
          <w:sz w:val="24"/>
          <w:szCs w:val="24"/>
          <w14:textFill>
            <w14:solidFill>
              <w14:schemeClr w14:val="tx1"/>
            </w14:solidFill>
          </w14:textFill>
        </w:rPr>
        <w:t>照招标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sz w:val="24"/>
          <w:szCs w:val="24"/>
          <w14:textFill>
            <w14:solidFill>
              <w14:schemeClr w14:val="tx1"/>
            </w14:solidFill>
          </w14:textFill>
        </w:rPr>
        <w:t>中的</w:t>
      </w:r>
      <w:r>
        <w:rPr>
          <w:rFonts w:hint="eastAsia" w:asciiTheme="minorEastAsia" w:hAnsiTheme="minorEastAsia" w:eastAsiaTheme="minorEastAsia" w:cstheme="minorEastAsia"/>
          <w:sz w:val="24"/>
          <w:szCs w:val="24"/>
        </w:rPr>
        <w:t>通讯地址，以书面形式（如信函、传真等）通知招标人，招标人对规定时间内收到的</w:t>
      </w:r>
      <w:r>
        <w:rPr>
          <w:rFonts w:hint="eastAsia" w:asciiTheme="minorEastAsia" w:hAnsiTheme="minorEastAsia" w:eastAsiaTheme="minorEastAsia" w:cstheme="minorEastAsia"/>
          <w:color w:val="auto"/>
          <w:sz w:val="24"/>
          <w:szCs w:val="24"/>
        </w:rPr>
        <w:t>澄清</w:t>
      </w:r>
      <w:r>
        <w:rPr>
          <w:rFonts w:hint="eastAsia" w:asciiTheme="minorEastAsia" w:hAnsiTheme="minorEastAsia" w:eastAsiaTheme="minorEastAsia" w:cstheme="minorEastAsia"/>
          <w:sz w:val="24"/>
          <w:szCs w:val="24"/>
        </w:rPr>
        <w:t>以书面形式予以答复，答复不包括问题的来源。</w:t>
      </w:r>
    </w:p>
    <w:p w14:paraId="0DC66BE6">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（七）招标文件的修改</w:t>
      </w:r>
    </w:p>
    <w:p w14:paraId="2FD4B6F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在响应文件接收截止之日前，无论出于何种原因，招标人均可以更正公告或补充文件的形式对招标文件进行澄清或者修改。澄清或者修改的内容可能影响响应文件编制的，应当在响应文件接收截止之日5个工作日前发出，不足5个工作日的，应当顺延提交响应文件截止时间</w:t>
      </w:r>
      <w:r>
        <w:rPr>
          <w:rFonts w:hint="eastAsia" w:asciiTheme="minorEastAsia" w:hAnsiTheme="minorEastAsia" w:eastAsiaTheme="minorEastAsia" w:cstheme="minorEastAsia"/>
          <w:sz w:val="24"/>
          <w:szCs w:val="24"/>
          <w:lang w:eastAsia="zh-CN"/>
        </w:rPr>
        <w:t>。</w:t>
      </w:r>
    </w:p>
    <w:p w14:paraId="4A73F3E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2．招标文件的修改或补充将以书面形式（如邮件、信函等）通知所有已获取招标文件的响应人，并对响应人具有约束力。响应人收到修改或补充文件后，应于1个工作日内予以回复，逾期未回复的，视同已收</w:t>
      </w:r>
      <w:r>
        <w:rPr>
          <w:rFonts w:hint="eastAsia" w:asciiTheme="minorEastAsia" w:hAnsiTheme="minorEastAsia" w:eastAsiaTheme="minorEastAsia" w:cstheme="minorEastAsia"/>
          <w:sz w:val="24"/>
          <w:szCs w:val="24"/>
          <w:lang w:eastAsia="zh-CN"/>
        </w:rPr>
        <w:t>。</w:t>
      </w:r>
    </w:p>
    <w:p w14:paraId="4C076ED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3．为使响应人有充分的时间对招标文件的补充、修改部分进行分析、研究，招标人有权推迟响应文件接收截止日期和招标日期。并将此变更通知所有已获取招标文件的响应人</w:t>
      </w:r>
      <w:r>
        <w:rPr>
          <w:rFonts w:hint="eastAsia" w:asciiTheme="minorEastAsia" w:hAnsiTheme="minorEastAsia" w:eastAsiaTheme="minorEastAsia" w:cstheme="minorEastAsia"/>
          <w:sz w:val="24"/>
          <w:szCs w:val="24"/>
          <w:lang w:eastAsia="zh-CN"/>
        </w:rPr>
        <w:t>。</w:t>
      </w:r>
    </w:p>
    <w:p w14:paraId="229A1D6A">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4．招标人发出的所有补充、修改和变更文件均作为招标文件的组成部分，与招标文件具有同等法律效力。</w:t>
      </w:r>
    </w:p>
    <w:p w14:paraId="6A3A695B">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三、响应文件的编制</w:t>
      </w:r>
    </w:p>
    <w:p w14:paraId="6B63839F">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（八）响应文件的编制要求</w:t>
      </w:r>
    </w:p>
    <w:p w14:paraId="0C6B859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r>
        <w:rPr>
          <w:rFonts w:hint="eastAsia" w:asciiTheme="minorEastAsia" w:hAnsiTheme="minorEastAsia" w:eastAsiaTheme="minorEastAsia" w:cstheme="minorEastAsia"/>
          <w:sz w:val="24"/>
          <w:szCs w:val="24"/>
          <w:lang w:eastAsia="zh-CN"/>
        </w:rPr>
        <w:t>。</w:t>
      </w:r>
    </w:p>
    <w:p w14:paraId="4DD803A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2．响应文件应当对招标文件有关技术标准和要求、服务要求、质量要求、响应有效期、服务范围等实质性内容作出响应。</w:t>
      </w:r>
    </w:p>
    <w:p w14:paraId="7287C33E">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（九）响应文件构成</w:t>
      </w:r>
    </w:p>
    <w:p w14:paraId="2BD6CC84">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1、资格、资质证明文件</w:t>
      </w:r>
    </w:p>
    <w:p w14:paraId="7B13F39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（1）法定代表人或其授权代理人签署的响应函；</w:t>
      </w:r>
    </w:p>
    <w:p w14:paraId="7ED52242">
      <w:pPr>
        <w:keepNext w:val="0"/>
        <w:keepLines w:val="0"/>
        <w:pageBreakBefore w:val="0"/>
        <w:kinsoku/>
        <w:wordWrap/>
        <w:overflowPunct/>
        <w:topLinePunct w:val="0"/>
        <w:bidi w:val="0"/>
        <w:spacing w:line="400" w:lineRule="exact"/>
        <w:ind w:firstLine="480" w:firstLineChars="200"/>
        <w:contextualSpacing/>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（2）法人代表证明或法定代表人授权委托书原件及法人代表和被授权人身份证复印件；</w:t>
      </w:r>
    </w:p>
    <w:p w14:paraId="422E4C0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highlight w:val="white"/>
        </w:rPr>
        <w:t>响应人营业执照副本</w:t>
      </w:r>
      <w:r>
        <w:rPr>
          <w:rFonts w:hint="eastAsia" w:asciiTheme="minorEastAsia" w:hAnsiTheme="minorEastAsia" w:eastAsiaTheme="minorEastAsia" w:cstheme="minorEastAsia"/>
          <w:sz w:val="24"/>
          <w:szCs w:val="24"/>
        </w:rPr>
        <w:t>；</w:t>
      </w:r>
    </w:p>
    <w:p w14:paraId="06283159">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（4）响应人财务状况报告；</w:t>
      </w:r>
    </w:p>
    <w:p w14:paraId="6D8CD501">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（5）响应人依法缴纳税收和社会保障资金的相关凭据；</w:t>
      </w:r>
    </w:p>
    <w:p w14:paraId="00E9A92D">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（6）没有重大违法记录的书面声明；</w:t>
      </w:r>
    </w:p>
    <w:p w14:paraId="71190ECB">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）响应人认为与本项目相关的其他资格证明资料。</w:t>
      </w:r>
    </w:p>
    <w:p w14:paraId="60E90A8A">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综合实力：</w:t>
      </w:r>
    </w:p>
    <w:p w14:paraId="1CFFB40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（1）项目经验；</w:t>
      </w:r>
    </w:p>
    <w:p w14:paraId="71CDD8A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（2）人员配置；</w:t>
      </w:r>
    </w:p>
    <w:p w14:paraId="0B5D0D9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（3）荣誉奖项；</w:t>
      </w:r>
    </w:p>
    <w:p w14:paraId="13BCE1BC">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（4）业绩材料。</w:t>
      </w:r>
    </w:p>
    <w:p w14:paraId="16C82125">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服务方案：</w:t>
      </w:r>
    </w:p>
    <w:p w14:paraId="2BEEB8A9">
      <w:pPr>
        <w:keepNext w:val="0"/>
        <w:keepLines w:val="0"/>
        <w:pageBreakBefore w:val="0"/>
        <w:tabs>
          <w:tab w:val="left" w:pos="840"/>
          <w:tab w:val="left" w:pos="1050"/>
        </w:tabs>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（1）项目管理措施；</w:t>
      </w:r>
    </w:p>
    <w:p w14:paraId="6F6CEA22">
      <w:pPr>
        <w:keepNext w:val="0"/>
        <w:keepLines w:val="0"/>
        <w:pageBreakBefore w:val="0"/>
        <w:tabs>
          <w:tab w:val="left" w:pos="840"/>
          <w:tab w:val="left" w:pos="1050"/>
        </w:tabs>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（2）项目服务方案；</w:t>
      </w:r>
    </w:p>
    <w:p w14:paraId="5F28557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（3）服务承诺；</w:t>
      </w:r>
    </w:p>
    <w:p w14:paraId="0B3FA4F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（4）其他服务</w:t>
      </w:r>
      <w:r>
        <w:rPr>
          <w:rFonts w:hint="eastAsia" w:asciiTheme="minorEastAsia" w:hAnsiTheme="minorEastAsia" w:eastAsiaTheme="minorEastAsia" w:cstheme="minorEastAsia"/>
          <w:sz w:val="24"/>
          <w:szCs w:val="24"/>
          <w:lang w:eastAsia="zh-CN"/>
        </w:rPr>
        <w:t>。</w:t>
      </w:r>
    </w:p>
    <w:p w14:paraId="42CED110">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（十）响应文件格式</w:t>
      </w:r>
    </w:p>
    <w:p w14:paraId="31943E3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响应人需按上述响应文件构成顺序装订成册，并按招标文件中提供的响应文件格式填写响应函、授权委托书、报价一览表等材料。</w:t>
      </w:r>
    </w:p>
    <w:p w14:paraId="37C55F6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（十一）响应文件份数和签署要求</w:t>
      </w:r>
    </w:p>
    <w:p w14:paraId="0189FE9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1、响应人应严格按照响应须知的要求准备响应文件，正本1份，副本4份。每份响应文件封面显著处必须清楚地标明“正本”或“副本”字样。响应文件的正本和副本均需打印，一旦正本和副本不符，以正本为准</w:t>
      </w:r>
      <w:r>
        <w:rPr>
          <w:rFonts w:hint="eastAsia" w:asciiTheme="minorEastAsia" w:hAnsiTheme="minorEastAsia" w:eastAsiaTheme="minorEastAsia" w:cstheme="minorEastAsia"/>
          <w:sz w:val="24"/>
          <w:szCs w:val="24"/>
          <w:lang w:eastAsia="zh-CN"/>
        </w:rPr>
        <w:t>。</w:t>
      </w:r>
    </w:p>
    <w:p w14:paraId="268071A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2、除响应人对错处做必要修改外，响应文件不得行间插字、涂改或增删，必要的修改处必须有响应人法人代表或其授权代表人签字并盖公章。</w:t>
      </w:r>
    </w:p>
    <w:p w14:paraId="4CD4981A">
      <w:pPr>
        <w:keepNext w:val="0"/>
        <w:keepLines w:val="0"/>
        <w:pageBreakBefore w:val="0"/>
        <w:kinsoku/>
        <w:wordWrap/>
        <w:overflowPunct/>
        <w:topLinePunct w:val="0"/>
        <w:bidi w:val="0"/>
        <w:spacing w:line="400" w:lineRule="exact"/>
        <w:ind w:firstLine="472" w:firstLineChars="196"/>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（十二）响应文件密封和装订</w:t>
      </w:r>
    </w:p>
    <w:p w14:paraId="2E2680CB">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1.响应人应将响应文件正本和副本密封包装（正本一份，副本四份），密封件外层正面应注明响应人名称、响应项目名称、项目编号，并在封面加盖公章，因标注不清而产生后果的由响应人自负</w:t>
      </w:r>
      <w:r>
        <w:rPr>
          <w:rFonts w:hint="eastAsia" w:asciiTheme="minorEastAsia" w:hAnsiTheme="minorEastAsia" w:eastAsiaTheme="minorEastAsia" w:cstheme="minorEastAsia"/>
          <w:sz w:val="24"/>
          <w:szCs w:val="24"/>
          <w:lang w:eastAsia="zh-CN"/>
        </w:rPr>
        <w:t>。</w:t>
      </w:r>
    </w:p>
    <w:p w14:paraId="4722FCC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2.除响应文件应包括报价一览表外，响应人还应将报价一览表单独密封一份，与响应文件一并递交。密封方式同响应文件要求，并在封面上注明“报价一览表”字样。</w:t>
      </w:r>
    </w:p>
    <w:p w14:paraId="257F6017">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四、响应文件的递交</w:t>
      </w:r>
    </w:p>
    <w:p w14:paraId="20B872B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（十三）响应文件的递交</w:t>
      </w:r>
    </w:p>
    <w:p w14:paraId="06A99337">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1．响应人应在招标文件规定的招标截止时间前提交响应文件。响应文件提交截止时间后，响应人对响应报价或其他实质性内容修正的函件和增加的任何优惠条件，一律拒绝接收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66685E19">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2．响应人所提交的响应文件不予退还</w:t>
      </w:r>
      <w:r>
        <w:rPr>
          <w:rFonts w:hint="eastAsia" w:asciiTheme="minorEastAsia" w:hAnsiTheme="minorEastAsia" w:eastAsiaTheme="minorEastAsia" w:cstheme="minorEastAsia"/>
          <w:sz w:val="24"/>
          <w:szCs w:val="24"/>
          <w:lang w:eastAsia="zh-CN"/>
        </w:rPr>
        <w:t>。</w:t>
      </w:r>
    </w:p>
    <w:p w14:paraId="79528413">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3．招标单位可以通过修改招标文件酌情延长响应文件接收截止日期，在此情况下，响应人的所有权利和义务以及响应人受制约的截止日期均应以延长后新的截止日期为准。</w:t>
      </w:r>
    </w:p>
    <w:p w14:paraId="6243A85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（十四）响应文件被拒绝接收的情形</w:t>
      </w:r>
    </w:p>
    <w:p w14:paraId="78272B05">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1．在响应文件规定的响应截止时间后送达的响应文件</w:t>
      </w:r>
      <w:r>
        <w:rPr>
          <w:rFonts w:hint="eastAsia" w:asciiTheme="minorEastAsia" w:hAnsiTheme="minorEastAsia" w:eastAsiaTheme="minorEastAsia" w:cstheme="minorEastAsia"/>
          <w:sz w:val="24"/>
          <w:szCs w:val="24"/>
          <w:lang w:eastAsia="zh-CN"/>
        </w:rPr>
        <w:t>；</w:t>
      </w:r>
    </w:p>
    <w:p w14:paraId="1C6DA64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2．未按招标文件要求密封的响应文件</w:t>
      </w:r>
      <w:r>
        <w:rPr>
          <w:rFonts w:hint="eastAsia" w:asciiTheme="minorEastAsia" w:hAnsiTheme="minorEastAsia" w:eastAsiaTheme="minorEastAsia" w:cstheme="minorEastAsia"/>
          <w:sz w:val="24"/>
          <w:szCs w:val="24"/>
          <w:lang w:eastAsia="zh-CN"/>
        </w:rPr>
        <w:t>；</w:t>
      </w:r>
    </w:p>
    <w:p w14:paraId="6EFBE2A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供应商法定代表人或其授权委托人未携带本人身份证参与招标磋谈活动。</w:t>
      </w:r>
    </w:p>
    <w:p w14:paraId="100D9372">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bookmarkStart w:id="15" w:name="_Toc213839733"/>
      <w:r>
        <w:rPr>
          <w:rFonts w:hint="eastAsia" w:asciiTheme="minorEastAsia" w:hAnsiTheme="minorEastAsia" w:eastAsiaTheme="minorEastAsia" w:cstheme="minorEastAsia"/>
          <w:b/>
          <w:bCs/>
          <w:sz w:val="24"/>
          <w:szCs w:val="24"/>
        </w:rPr>
        <w:t>（十五）响应文件的修改</w:t>
      </w:r>
      <w:bookmarkEnd w:id="15"/>
      <w:r>
        <w:rPr>
          <w:rFonts w:hint="eastAsia" w:asciiTheme="minorEastAsia" w:hAnsiTheme="minorEastAsia" w:eastAsiaTheme="minorEastAsia" w:cstheme="minorEastAsia"/>
          <w:b/>
          <w:bCs/>
          <w:sz w:val="24"/>
          <w:szCs w:val="24"/>
        </w:rPr>
        <w:t>和撤回</w:t>
      </w:r>
    </w:p>
    <w:p w14:paraId="387425E2">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rPr>
        <w:t>1．供应商在递交响应文件截止时间之前，对所递交的响应文件可以补充、修改，补充、修改的内容为响应文件的组成部分，对响应供应商具有约束力</w:t>
      </w:r>
      <w:bookmarkStart w:id="16" w:name="_Toc213839734"/>
      <w:r>
        <w:rPr>
          <w:rFonts w:hint="eastAsia" w:asciiTheme="minorEastAsia" w:hAnsiTheme="minorEastAsia" w:eastAsiaTheme="minorEastAsia" w:cstheme="minorEastAsia"/>
          <w:sz w:val="24"/>
          <w:szCs w:val="24"/>
          <w:lang w:eastAsia="zh-CN"/>
        </w:rPr>
        <w:t>。</w:t>
      </w:r>
    </w:p>
    <w:p w14:paraId="44313A3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2．响应文件的修改或撤回应按规定进行编制、密封、标记和发送，并应在封套上加注“修改”和“撤回”字样。修改的文件必须在响应截止时间前送达</w:t>
      </w:r>
      <w:r>
        <w:rPr>
          <w:rFonts w:hint="eastAsia" w:asciiTheme="minorEastAsia" w:hAnsiTheme="minorEastAsia" w:eastAsiaTheme="minorEastAsia" w:cstheme="minorEastAsia"/>
          <w:sz w:val="24"/>
          <w:szCs w:val="24"/>
          <w:lang w:eastAsia="zh-CN"/>
        </w:rPr>
        <w:t>。</w:t>
      </w:r>
    </w:p>
    <w:p w14:paraId="34D3BDA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3．响应截止时间之后，响应人不得对其响应文件作任何修改，不得撤回响应文件。</w:t>
      </w:r>
      <w:bookmarkEnd w:id="16"/>
    </w:p>
    <w:p w14:paraId="2644258D">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五、其他条款</w:t>
      </w:r>
    </w:p>
    <w:p w14:paraId="63DD30D9">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（十六）无效标条款</w:t>
      </w:r>
    </w:p>
    <w:p w14:paraId="77126A0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1．响应人不符合招标文件规定资格要求的或未按规定提交资质证件的；</w:t>
      </w:r>
    </w:p>
    <w:p w14:paraId="271F57CB">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响应文件签署、盖章不符合招标文件要求的；</w:t>
      </w:r>
    </w:p>
    <w:p w14:paraId="4567EE0F">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报价超过招标文件中规定的服务收费标准的；</w:t>
      </w:r>
    </w:p>
    <w:p w14:paraId="5C0DC56B">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响应文件出现重大偏离，未对招标文件进行实质性响应的；</w:t>
      </w:r>
    </w:p>
    <w:p w14:paraId="49A1FC0F">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响应文件含有招标人不能接受的附加条件的；</w:t>
      </w:r>
    </w:p>
    <w:p w14:paraId="4612EA0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6．响应人有本招标文件规定的恶意串通响应情形的；</w:t>
      </w:r>
    </w:p>
    <w:p w14:paraId="245E386D">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其它评审小组认为有必要取消的响应。</w:t>
      </w:r>
    </w:p>
    <w:p w14:paraId="4840DC03">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highlight w:val="white"/>
        </w:rPr>
        <w:t>（十七）废标条款</w:t>
      </w:r>
    </w:p>
    <w:p w14:paraId="3CDA5FF4">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1．出现影响公正的违法、违规行为的；</w:t>
      </w:r>
    </w:p>
    <w:p w14:paraId="732E20B9">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2．因重大变故，招标活动取消的。</w:t>
      </w:r>
    </w:p>
    <w:p w14:paraId="31D40BF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（十八）取消中标候选人资格条款</w:t>
      </w:r>
    </w:p>
    <w:p w14:paraId="49EB32F2">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1．提供虚假材料谋取中标的；</w:t>
      </w:r>
    </w:p>
    <w:p w14:paraId="45FBFBDE">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2．采取不正当手段诋毁、排挤其他响应人的；</w:t>
      </w:r>
    </w:p>
    <w:p w14:paraId="18287DE5">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3．与招标人、其他响应人恶意串通的；</w:t>
      </w:r>
    </w:p>
    <w:p w14:paraId="3869B40B">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4．向招标人行贿或者提供其他不正当利益的；</w:t>
      </w:r>
    </w:p>
    <w:p w14:paraId="53791B3F">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5．在规定时间内未与招标人签订合同的；</w:t>
      </w:r>
    </w:p>
    <w:p w14:paraId="2144579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6．法律、法规规定的其他情况。</w:t>
      </w:r>
    </w:p>
    <w:p w14:paraId="732FC4F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（十九）恶意串通响应的情形</w:t>
      </w:r>
    </w:p>
    <w:p w14:paraId="7CF50A4B">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1．响应人直接或间接从招标人处获得其他响应人的响应情况，并修改其响应文件；</w:t>
      </w:r>
    </w:p>
    <w:p w14:paraId="3DBF5572">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评审活动开始前响应人直接或间接从招标人获得评审小组组成人员情况；</w:t>
      </w:r>
    </w:p>
    <w:p w14:paraId="1CBD6044">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3．响应人接受招标人授意撤换、修改响应文件；</w:t>
      </w:r>
    </w:p>
    <w:p w14:paraId="597D57B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4．响应人之间协商响应报价、技术方案等响应文件实质性内容；</w:t>
      </w:r>
    </w:p>
    <w:p w14:paraId="51DF616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5．属于同一集团、协会、商会等组织成员的响应人按照该组织要求协同参与招标活动的；</w:t>
      </w:r>
    </w:p>
    <w:p w14:paraId="05617E5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6．响应人之间事先约定由某一特定响应人中标；</w:t>
      </w:r>
    </w:p>
    <w:p w14:paraId="4F99BD33">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7．响应人之间商定部分响应人放弃响应或者放弃中标；</w:t>
      </w:r>
    </w:p>
    <w:p w14:paraId="6D3761C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8．响应人与招标人之间、响应人相互之间为谋求特定响应人中标或者排斥其他响应人的其他串通行为；</w:t>
      </w:r>
    </w:p>
    <w:p w14:paraId="1A122713">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9．不同响应人的响应文件由同一单位或者个人编制；</w:t>
      </w:r>
    </w:p>
    <w:p w14:paraId="5F69A88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10．不同响应人委托同一单位或者个人办理响应事宜；</w:t>
      </w:r>
    </w:p>
    <w:p w14:paraId="481DD8A1">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11．不同响应人的响应文件载明的项目管理成员为同一人；</w:t>
      </w:r>
    </w:p>
    <w:p w14:paraId="32434008">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12．不同响应人的响应文件异常一致；</w:t>
      </w:r>
    </w:p>
    <w:p w14:paraId="2B14AAD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13．不同响应人的响应文件相互混装</w:t>
      </w:r>
      <w:r>
        <w:rPr>
          <w:rFonts w:hint="eastAsia" w:asciiTheme="minorEastAsia" w:hAnsiTheme="minorEastAsia" w:eastAsiaTheme="minorEastAsia" w:cstheme="minorEastAsia"/>
          <w:sz w:val="24"/>
          <w:szCs w:val="24"/>
          <w:lang w:eastAsia="zh-CN"/>
        </w:rPr>
        <w:t>。</w:t>
      </w:r>
    </w:p>
    <w:p w14:paraId="2600A400">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六、评审程序</w:t>
      </w:r>
    </w:p>
    <w:p w14:paraId="7E4348A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（二十）开标流程</w:t>
      </w:r>
    </w:p>
    <w:p w14:paraId="03D2B8C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1．招标单位项目经办人按招标文件规定的时间、地点组织公开开标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D5038FA">
      <w:pPr>
        <w:keepNext w:val="0"/>
        <w:keepLines w:val="0"/>
        <w:pageBreakBefore w:val="0"/>
        <w:kinsoku/>
        <w:wordWrap/>
        <w:overflowPunct/>
        <w:topLinePunct w:val="0"/>
        <w:bidi w:val="0"/>
        <w:spacing w:line="400" w:lineRule="exact"/>
        <w:ind w:left="48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2．公布响应单位名单；</w:t>
      </w:r>
    </w:p>
    <w:p w14:paraId="3FD1BD9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3．唱标（宣读响应人名称及响应报价）；</w:t>
      </w:r>
    </w:p>
    <w:p w14:paraId="66F6F8B2">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4．现场评标；</w:t>
      </w:r>
    </w:p>
    <w:p w14:paraId="760458C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5．宣布评标结果；</w:t>
      </w:r>
    </w:p>
    <w:p w14:paraId="3B2CD86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6．开标结束。</w:t>
      </w:r>
    </w:p>
    <w:p w14:paraId="1B60A200">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（二十一）资格审查</w:t>
      </w:r>
    </w:p>
    <w:p w14:paraId="695DD0A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bookmarkStart w:id="17" w:name="EBa9c0a2c9e523494487594c65b2a92370"/>
      <w:r>
        <w:rPr>
          <w:rFonts w:hint="eastAsia" w:asciiTheme="minorEastAsia" w:hAnsiTheme="minorEastAsia" w:eastAsiaTheme="minorEastAsia" w:cstheme="minorEastAsia"/>
          <w:sz w:val="24"/>
          <w:szCs w:val="24"/>
        </w:rPr>
        <w:t>开标结束后，采购人依法根据招标文件的规定对响应人的资格证明文件等进行审查，未通过资格审查的为无效标。</w:t>
      </w:r>
      <w:bookmarkEnd w:id="17"/>
    </w:p>
    <w:p w14:paraId="444F9DC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（二十二）评审委员会</w:t>
      </w:r>
    </w:p>
    <w:p w14:paraId="1849CEA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采购人应根据本项目的特点依法组建评审委员会。评标委员会负责具体评审事务，对资格审查合格的响应人进行评审，并独立履行相关职责。</w:t>
      </w:r>
    </w:p>
    <w:p w14:paraId="4C175D4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（二十三）评审原则</w:t>
      </w:r>
    </w:p>
    <w:p w14:paraId="00DC936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“公平、公正、客观、择优”为评审的基本原则，评审委员会将根据这一原则，公正、平等地对待各响应人。</w:t>
      </w:r>
    </w:p>
    <w:p w14:paraId="2C2089A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（二十四）评标程序</w:t>
      </w:r>
    </w:p>
    <w:p w14:paraId="55FAE37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18" w:name="EB1499356fad43416eb16398733accabf7"/>
      <w:r>
        <w:rPr>
          <w:rFonts w:hint="eastAsia" w:asciiTheme="minorEastAsia" w:hAnsiTheme="minorEastAsia" w:eastAsiaTheme="minorEastAsia" w:cstheme="minorEastAsia"/>
          <w:sz w:val="24"/>
          <w:szCs w:val="24"/>
        </w:rPr>
        <w:t>所谓重大偏离是指响应文件中所述质量、技术、服务等明显不能满足招标文件要求。</w:t>
      </w:r>
      <w:bookmarkEnd w:id="18"/>
      <w:r>
        <w:rPr>
          <w:rFonts w:hint="eastAsia" w:asciiTheme="minorEastAsia" w:hAnsiTheme="minorEastAsia" w:eastAsiaTheme="minorEastAsia" w:cstheme="minorEastAsia"/>
          <w:sz w:val="24"/>
          <w:szCs w:val="24"/>
        </w:rPr>
        <w:t>重大偏离的认定须经评审委员会三分之二以上同意。</w:t>
      </w:r>
    </w:p>
    <w:p w14:paraId="413DEE6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澄清有关问题</w:t>
      </w:r>
    </w:p>
    <w:p w14:paraId="3FB63A7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3A419B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2.2响应文件报价出现前后不一致的，按照下列规定修正：</w:t>
      </w:r>
    </w:p>
    <w:p w14:paraId="4031FC8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①响应文件中开标一览表（报价表）内容与响应文件中相应内容不一致的，以开标一览表（报价表）为准；</w:t>
      </w:r>
    </w:p>
    <w:p w14:paraId="3B827EA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6A54460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③单价金额小数点或者百分比有明显错位的，以开标一览表的总价为准，并修改单价；</w:t>
      </w:r>
    </w:p>
    <w:p w14:paraId="4D2A5D2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④总价金额与按单价汇总金额不一致的，以单价金额计算结果为准。</w:t>
      </w:r>
    </w:p>
    <w:p w14:paraId="2003616E">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同时出现两种以上不一致的，按照前款规定的顺序修正。修正后的报价，经响应人确认后产生约束力，响应人不确认的，其响应无效。</w:t>
      </w:r>
    </w:p>
    <w:p w14:paraId="22E42C0F">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63ACF48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比较。评审委员会将按招标文件中规定的评审方法和标准，对符合性检查合格的响应文件进行商务和技术评比。</w:t>
      </w:r>
    </w:p>
    <w:p w14:paraId="72C0D12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推荐中标候选人。评审委员会按照招标文件中规定的评审方法和标准推荐中标候选人。</w:t>
      </w:r>
    </w:p>
    <w:p w14:paraId="605D9588">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七、中标及合同签订</w:t>
      </w:r>
    </w:p>
    <w:p w14:paraId="433C002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（二十五）标后审查</w:t>
      </w:r>
    </w:p>
    <w:p w14:paraId="09E50B5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r>
        <w:rPr>
          <w:rFonts w:hint="eastAsia" w:asciiTheme="minorEastAsia" w:hAnsiTheme="minorEastAsia" w:eastAsiaTheme="minorEastAsia" w:cstheme="minorEastAsia"/>
          <w:sz w:val="24"/>
          <w:szCs w:val="24"/>
          <w:lang w:eastAsia="zh-CN"/>
        </w:rPr>
        <w:t>。</w:t>
      </w:r>
    </w:p>
    <w:p w14:paraId="1A80B18B">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招标人若发现中标</w:t>
      </w:r>
      <w:r>
        <w:rPr>
          <w:rFonts w:hint="eastAsia" w:asciiTheme="minorEastAsia" w:hAnsiTheme="minorEastAsia" w:eastAsiaTheme="minorEastAsia" w:cstheme="minorEastAsia"/>
          <w:sz w:val="24"/>
          <w:szCs w:val="24"/>
        </w:rPr>
        <w:t>候选人在响应过程中提供虚假证明文件，故意隐瞒公司不良信誉和财务状况，以及存在可能对合同圆满履行造成风险的其他因素等，则按规定取消其中标资格，监管部门依法进行处罚。</w:t>
      </w:r>
    </w:p>
    <w:p w14:paraId="3086F732">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highlight w:val="white"/>
        </w:rPr>
      </w:pPr>
      <w:r>
        <w:rPr>
          <w:rFonts w:hint="eastAsia" w:asciiTheme="minorEastAsia" w:hAnsiTheme="minorEastAsia" w:eastAsiaTheme="minorEastAsia" w:cstheme="minorEastAsia"/>
          <w:b/>
          <w:sz w:val="24"/>
          <w:szCs w:val="24"/>
          <w:highlight w:val="white"/>
        </w:rPr>
        <w:t>（二十六）中标通知</w:t>
      </w:r>
    </w:p>
    <w:p w14:paraId="4FA6A2B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中标结果在医院网站上发布公告。</w:t>
      </w:r>
    </w:p>
    <w:p w14:paraId="6D3F100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（二十七）签订合同</w:t>
      </w:r>
    </w:p>
    <w:p w14:paraId="32CC856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1．中标人应在规定的时间、地点与招标人签订合同，招标文件、中标人的响应文件及服务承诺文件以及磋谈过程中有关澄清文件均作为合同附件</w:t>
      </w:r>
      <w:r>
        <w:rPr>
          <w:rFonts w:hint="eastAsia" w:asciiTheme="minorEastAsia" w:hAnsiTheme="minorEastAsia" w:eastAsiaTheme="minorEastAsia" w:cstheme="minorEastAsia"/>
          <w:sz w:val="24"/>
          <w:szCs w:val="24"/>
          <w:lang w:eastAsia="zh-CN"/>
        </w:rPr>
        <w:t>；</w:t>
      </w:r>
    </w:p>
    <w:p w14:paraId="207E578F">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2．中标人无正当理由未在规定时间内与招标人签订合同的，招标人有权建议取消其中标资格，监管部门将对其依法处理。拒绝签订合同的中标人不得参加对该项目重新开展的采招标活动。</w:t>
      </w:r>
    </w:p>
    <w:p w14:paraId="269045CF">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八、考核及付款</w:t>
      </w:r>
    </w:p>
    <w:p w14:paraId="05EB800F">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（二十八）考核</w:t>
      </w:r>
    </w:p>
    <w:p w14:paraId="5866229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招标人组建考核小组，考核小组按照招标文件及后续合同约定实施考核。</w:t>
      </w:r>
    </w:p>
    <w:p w14:paraId="4DD59831">
      <w:pPr>
        <w:keepNext w:val="0"/>
        <w:keepLines w:val="0"/>
        <w:pageBreakBefore w:val="0"/>
        <w:widowControl/>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（二十九）付款</w:t>
      </w:r>
    </w:p>
    <w:p w14:paraId="2DBCD96A">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按照招标文件和合同约定的付款方式进行付款。</w:t>
      </w:r>
    </w:p>
    <w:p w14:paraId="177F0287">
      <w:pPr>
        <w:pStyle w:val="39"/>
        <w:rPr>
          <w:rFonts w:hint="eastAsia"/>
        </w:rPr>
      </w:pPr>
    </w:p>
    <w:p w14:paraId="2B7C55C7">
      <w:pPr>
        <w:pStyle w:val="39"/>
        <w:rPr>
          <w:rFonts w:hint="eastAsia"/>
        </w:rPr>
      </w:pPr>
    </w:p>
    <w:p w14:paraId="107F9056">
      <w:pPr>
        <w:pStyle w:val="39"/>
        <w:rPr>
          <w:rFonts w:hint="eastAsia"/>
        </w:rPr>
      </w:pPr>
    </w:p>
    <w:p w14:paraId="3C6C5F64">
      <w:pPr>
        <w:pStyle w:val="39"/>
        <w:rPr>
          <w:rFonts w:hint="eastAsia"/>
        </w:rPr>
      </w:pPr>
    </w:p>
    <w:p w14:paraId="67FBA817">
      <w:pPr>
        <w:pStyle w:val="39"/>
        <w:rPr>
          <w:rFonts w:hint="eastAsia"/>
        </w:rPr>
      </w:pPr>
    </w:p>
    <w:p w14:paraId="187642D1">
      <w:pPr>
        <w:pStyle w:val="39"/>
        <w:rPr>
          <w:rFonts w:hint="eastAsia"/>
        </w:rPr>
      </w:pPr>
    </w:p>
    <w:p w14:paraId="157556DC">
      <w:pPr>
        <w:pStyle w:val="39"/>
        <w:rPr>
          <w:rFonts w:hint="eastAsia"/>
        </w:rPr>
      </w:pPr>
    </w:p>
    <w:p w14:paraId="0F48A049">
      <w:pPr>
        <w:pStyle w:val="39"/>
        <w:rPr>
          <w:rFonts w:hint="eastAsia"/>
        </w:rPr>
      </w:pPr>
    </w:p>
    <w:p w14:paraId="26EA2261">
      <w:pPr>
        <w:pStyle w:val="39"/>
        <w:rPr>
          <w:rFonts w:hint="eastAsia"/>
        </w:rPr>
      </w:pPr>
    </w:p>
    <w:p w14:paraId="4EC39CD2">
      <w:pPr>
        <w:pStyle w:val="39"/>
        <w:rPr>
          <w:rFonts w:hint="eastAsia"/>
        </w:rPr>
      </w:pPr>
    </w:p>
    <w:p w14:paraId="2F03B6E5">
      <w:pPr>
        <w:pStyle w:val="39"/>
        <w:rPr>
          <w:rFonts w:hint="eastAsia"/>
        </w:rPr>
      </w:pPr>
    </w:p>
    <w:p w14:paraId="72FE41B6">
      <w:pPr>
        <w:pStyle w:val="39"/>
        <w:rPr>
          <w:rFonts w:hint="eastAsia"/>
        </w:rPr>
      </w:pPr>
    </w:p>
    <w:p w14:paraId="3ECFA6FE">
      <w:pPr>
        <w:pStyle w:val="39"/>
        <w:rPr>
          <w:rFonts w:hint="eastAsia"/>
        </w:rPr>
      </w:pPr>
    </w:p>
    <w:p w14:paraId="5EB9D40C">
      <w:pPr>
        <w:pStyle w:val="2"/>
        <w:spacing w:line="440" w:lineRule="exact"/>
        <w:jc w:val="center"/>
      </w:pPr>
      <w:bookmarkStart w:id="19" w:name="_Toc521602503"/>
      <w:bookmarkStart w:id="20" w:name="_Toc25280"/>
      <w:bookmarkStart w:id="21" w:name="_Toc32199"/>
      <w:bookmarkStart w:id="22" w:name="_Toc521602502"/>
      <w:bookmarkStart w:id="23" w:name="_Toc11403"/>
      <w:r>
        <w:rPr>
          <w:rFonts w:hint="eastAsia"/>
          <w:highlight w:val="white"/>
        </w:rPr>
        <w:t>第</w:t>
      </w:r>
      <w:r>
        <w:rPr>
          <w:rFonts w:hint="eastAsia"/>
          <w:highlight w:val="white"/>
          <w:lang w:eastAsia="zh-CN"/>
        </w:rPr>
        <w:t>三</w:t>
      </w:r>
      <w:r>
        <w:rPr>
          <w:rFonts w:hint="eastAsia"/>
          <w:highlight w:val="white"/>
        </w:rPr>
        <w:t>部分  项目需求</w:t>
      </w:r>
      <w:bookmarkEnd w:id="19"/>
      <w:bookmarkEnd w:id="20"/>
      <w:bookmarkEnd w:id="21"/>
    </w:p>
    <w:p w14:paraId="31973D29">
      <w:pPr>
        <w:pStyle w:val="19"/>
        <w:keepNext w:val="0"/>
        <w:keepLines w:val="0"/>
        <w:pageBreakBefore w:val="0"/>
        <w:widowControl w:val="0"/>
        <w:numPr>
          <w:ilvl w:val="0"/>
          <w:numId w:val="0"/>
        </w:numPr>
        <w:kinsoku/>
        <w:wordWrap/>
        <w:overflowPunct/>
        <w:topLinePunct w:val="0"/>
        <w:bidi w:val="0"/>
        <w:snapToGrid/>
        <w:spacing w:line="400" w:lineRule="exact"/>
        <w:ind w:left="513" w:leftChars="197" w:hanging="99" w:hangingChars="4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2"/>
          <w:sz w:val="24"/>
          <w:szCs w:val="24"/>
          <w:lang w:val="en-US" w:eastAsia="zh-CN" w:bidi="ar-SA"/>
        </w:rPr>
        <w:t>一、</w:t>
      </w:r>
      <w:r>
        <w:rPr>
          <w:rFonts w:hint="eastAsia" w:asciiTheme="minorEastAsia" w:hAnsiTheme="minorEastAsia" w:eastAsiaTheme="minorEastAsia" w:cstheme="minorEastAsia"/>
          <w:b/>
          <w:sz w:val="24"/>
          <w:szCs w:val="24"/>
        </w:rPr>
        <w:t>项目简要说明</w:t>
      </w:r>
    </w:p>
    <w:p w14:paraId="3B632762">
      <w:pPr>
        <w:pStyle w:val="19"/>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科研试剂耗材采购管理平台项目招标，本次招标拟招</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家供应商。</w:t>
      </w:r>
    </w:p>
    <w:p w14:paraId="133B3166">
      <w:pPr>
        <w:pStyle w:val="19"/>
        <w:keepNext w:val="0"/>
        <w:keepLines w:val="0"/>
        <w:pageBreakBefore w:val="0"/>
        <w:widowControl w:val="0"/>
        <w:numPr>
          <w:ilvl w:val="0"/>
          <w:numId w:val="0"/>
        </w:numPr>
        <w:kinsoku/>
        <w:wordWrap/>
        <w:overflowPunct/>
        <w:topLinePunct w:val="0"/>
        <w:bidi w:val="0"/>
        <w:snapToGrid/>
        <w:spacing w:line="400" w:lineRule="exact"/>
        <w:ind w:left="513" w:leftChars="197" w:hanging="99" w:hangingChars="41"/>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2"/>
          <w:sz w:val="24"/>
          <w:szCs w:val="24"/>
          <w:lang w:val="en-US" w:eastAsia="zh-CN" w:bidi="ar-SA"/>
        </w:rPr>
        <w:t>二、</w:t>
      </w:r>
      <w:r>
        <w:rPr>
          <w:rFonts w:hint="eastAsia" w:asciiTheme="minorEastAsia" w:hAnsiTheme="minorEastAsia" w:eastAsiaTheme="minorEastAsia" w:cstheme="minorEastAsia"/>
          <w:b/>
          <w:sz w:val="24"/>
          <w:szCs w:val="24"/>
        </w:rPr>
        <w:t>项目需求</w:t>
      </w:r>
    </w:p>
    <w:p w14:paraId="08458810">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（一）系统平台与总体技术要求</w:t>
      </w:r>
    </w:p>
    <w:p w14:paraId="32CF959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在采购流程设置，依据单位的内控管理要求，灵活设置采购流程，从“选择科研试剂耗材→与供应商协商议价→发起采购任务→采购审批→货到验收→结算报销”环节（具体可根据采购方要求进行设计和完善），保障整个采购前、中、后程序规范，控制严密，过程透明，责任明晰，流程留痕。</w:t>
      </w:r>
    </w:p>
    <w:p w14:paraId="00381C02">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2.采购平台以第三方电子商务的形式实现，平台内商品明码标价，有完整的商品基本信息，包括但不限于商品品牌、规格、价格、货号、货期、内外包装彩页等。可提供大宗耗材交易的大客户价。</w:t>
      </w:r>
    </w:p>
    <w:p w14:paraId="14E99B3A">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满足单位采购品类齐全的基本需求，并可根据用户需求不断补充完善供应商库。对于采购平台中没有，且又符合线上销售要求的线下自主采购的商品，协助供应商做好上线销售的相关工作，在保障交易平台合理、合法运营的基础上，提升系统服务效能。</w:t>
      </w:r>
    </w:p>
    <w:p w14:paraId="51B82E8F">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(二)功能需求</w:t>
      </w:r>
    </w:p>
    <w:p w14:paraId="4BAA3665">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2"/>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需具备商品采购系统，包含商品展示模块，直采模块，采购结算模块，采购退换货模块，历史查询，线下采购管理模块；能方便采购人员快速查询物资资料、快速下单，并能在课题经费的管控下实现采购进货和采购支付；</w:t>
      </w:r>
    </w:p>
    <w:p w14:paraId="0B6EACDD">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2"/>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2.需具备商品竞价系统，包含询价竞价模块，支持一次竞价采购多种商品，支持多家供应商报价，比对商品价格和供应商服务承诺后择优采购，以达到公平公正公开、阳光高效的竞争原则；</w:t>
      </w:r>
    </w:p>
    <w:p w14:paraId="6C826EA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3.需具备使用单位管理系统，包含用户管理模块，出入库系统，供应商入驻管理模块，多级审批模块，评价及留言模块，在线和电话客服，价格指导及管控模块，企业微信及微信消息推送及审批，电子签名模块，经费预算管理模块，统计模块等，可个性化改造，高度符合使用单位采购管理规范和制度；</w:t>
      </w:r>
    </w:p>
    <w:p w14:paraId="48042EF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▲4.需具备危化品管理系统，包含危险化学品采购管理，危险化学品采购备案，实验室安全巡检系统；</w:t>
      </w:r>
    </w:p>
    <w:p w14:paraId="01AF70D2">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0"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b/>
          <w:bCs/>
          <w:color w:val="000000"/>
          <w:sz w:val="24"/>
          <w:szCs w:val="24"/>
          <w:lang w:val="en-US" w:eastAsia="zh-CN"/>
        </w:rPr>
        <w:t>5.需具备风险管控功能，包含风险订单筛查，政府采购品目管控功能等模块；</w:t>
      </w:r>
    </w:p>
    <w:p w14:paraId="24A8F2A7">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▲6.需具备科研信息化辅助工具拓展使用范围。</w:t>
      </w:r>
    </w:p>
    <w:p w14:paraId="4B15456F">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highlight w:val="none"/>
          <w:lang w:val="en-US" w:eastAsia="zh-CN"/>
        </w:rPr>
        <w:t>（三）</w:t>
      </w:r>
      <w:r>
        <w:rPr>
          <w:rFonts w:hint="eastAsia" w:asciiTheme="minorEastAsia" w:hAnsiTheme="minorEastAsia" w:eastAsiaTheme="minorEastAsia" w:cstheme="minorEastAsia"/>
          <w:b/>
          <w:bCs/>
          <w:color w:val="000000"/>
          <w:sz w:val="24"/>
          <w:szCs w:val="24"/>
          <w:lang w:val="en-US" w:eastAsia="zh-CN"/>
        </w:rPr>
        <w:t>供应商管理要求</w:t>
      </w:r>
    </w:p>
    <w:p w14:paraId="6873853A">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对即将入驻的供应商实行供应商门槛准入机制。对供应商进行定期的等级认证。具备商品审核，提供品类齐全的货物，满足用户单位采购的基本需求，并可根据采购用户需求不断补充完善供应商库。</w:t>
      </w:r>
    </w:p>
    <w:p w14:paraId="0C1F269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（四）升级维护和售后保障要求</w:t>
      </w:r>
    </w:p>
    <w:p w14:paraId="00FCA70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1.本项目顺利上线后，平台公司须提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供不低于3年的免</w:t>
      </w:r>
      <w:r>
        <w:rPr>
          <w:rFonts w:hint="eastAsia" w:asciiTheme="minorEastAsia" w:hAnsiTheme="minorEastAsia" w:eastAsiaTheme="minorEastAsia" w:cstheme="minorEastAsia"/>
          <w:color w:val="000000"/>
          <w:sz w:val="24"/>
          <w:szCs w:val="24"/>
          <w:lang w:val="en-US" w:eastAsia="zh-CN"/>
        </w:rPr>
        <w:t>费维保服务（7*24小时服务），保证平台顺利运行。</w:t>
      </w:r>
    </w:p>
    <w:p w14:paraId="10FECF98">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2.应用系统提交后，根据买方的要求提供免费的培训服务。</w:t>
      </w:r>
    </w:p>
    <w:p w14:paraId="24681281">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3.因采购人制度变化导致采购流程发生变化的，平台公司有义务免费做相应的调整、升级改造等工作。</w:t>
      </w:r>
    </w:p>
    <w:p w14:paraId="7D072EFC">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（五）数据安全和运行维护要求</w:t>
      </w:r>
    </w:p>
    <w:p w14:paraId="19452532">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数据安全：平台应该具备相关的数据安全资质认证，确保单位数据的安全性，同时不可向第三方公布或使用；</w:t>
      </w:r>
    </w:p>
    <w:p w14:paraId="5B27E94B">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平台应按要求定期提供用户在交易中产生的数据包括但不限于交易数据、操作数据等；</w:t>
      </w:r>
    </w:p>
    <w:p w14:paraId="0E4A251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供5×8（工作日）不间断运营的客服中心和7×24（全天）的</w:t>
      </w:r>
      <w:r>
        <w:rPr>
          <w:rFonts w:hint="eastAsia" w:asciiTheme="minorEastAsia" w:hAnsiTheme="minorEastAsia" w:eastAsiaTheme="minorEastAsia" w:cstheme="minorEastAsia"/>
          <w:color w:val="000000"/>
          <w:sz w:val="24"/>
          <w:szCs w:val="24"/>
          <w:lang w:val="en-US" w:eastAsia="zh-CN"/>
        </w:rPr>
        <w:t>值班电话，在接到用户服务请求或者监控告警时会迅速对事件进行定性并通知相关部门启动相应流程；</w:t>
      </w:r>
    </w:p>
    <w:p w14:paraId="2B0EAB25">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平台公司应做好系统日常维护和升级工作，对系统故障及交易纠纷处理的回应时间不得迟于2小时，排除时间不得迟于24小时。</w:t>
      </w:r>
    </w:p>
    <w:p w14:paraId="2A334CA1">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（六）商务要求</w:t>
      </w:r>
    </w:p>
    <w:p w14:paraId="61CDA911">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color w:val="000000"/>
          <w:sz w:val="24"/>
          <w:szCs w:val="24"/>
          <w:lang w:val="zh-CN" w:eastAsia="zh-CN"/>
        </w:rPr>
        <w:t>采购人不承担商品交易产生的交易服务费，交易服务费由成交报价人向商品供应商收取。采购平台</w:t>
      </w:r>
      <w:r>
        <w:rPr>
          <w:rFonts w:hint="eastAsia" w:asciiTheme="minorEastAsia" w:hAnsiTheme="minorEastAsia" w:eastAsiaTheme="minorEastAsia" w:cstheme="minorEastAsia"/>
          <w:sz w:val="24"/>
          <w:szCs w:val="24"/>
          <w:lang w:bidi="ar"/>
        </w:rPr>
        <w:t>开发公司及其子公司/分公司不能直接参与试剂耗材经营、采购和交易活动。</w:t>
      </w:r>
      <w:r>
        <w:rPr>
          <w:rFonts w:hint="eastAsia" w:asciiTheme="minorEastAsia" w:hAnsiTheme="minorEastAsia" w:eastAsiaTheme="minorEastAsia" w:cstheme="minorEastAsia"/>
          <w:color w:val="000000"/>
          <w:sz w:val="24"/>
          <w:szCs w:val="24"/>
          <w:lang w:val="zh-CN" w:eastAsia="zh-CN"/>
        </w:rPr>
        <w:t>（需提供承诺函，承诺函格式自拟）。</w:t>
      </w:r>
    </w:p>
    <w:p w14:paraId="5B5ED7AF">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、服务期限：</w:t>
      </w:r>
      <w:r>
        <w:rPr>
          <w:rFonts w:hint="eastAsia" w:asciiTheme="minorEastAsia" w:hAnsiTheme="minorEastAsia" w:eastAsiaTheme="minorEastAsia" w:cstheme="minorEastAsia"/>
          <w:sz w:val="24"/>
          <w:szCs w:val="24"/>
        </w:rPr>
        <w:t>服务期为3年。</w:t>
      </w:r>
    </w:p>
    <w:p w14:paraId="2B7E4541">
      <w:pPr>
        <w:pStyle w:val="2"/>
        <w:spacing w:line="440" w:lineRule="exact"/>
        <w:jc w:val="center"/>
        <w:rPr>
          <w:rFonts w:hint="eastAsia"/>
          <w:highlight w:val="white"/>
        </w:rPr>
      </w:pPr>
    </w:p>
    <w:p w14:paraId="588FCCB9">
      <w:pPr>
        <w:pStyle w:val="39"/>
        <w:rPr>
          <w:rFonts w:hint="eastAsia"/>
          <w:highlight w:val="white"/>
        </w:rPr>
      </w:pPr>
    </w:p>
    <w:p w14:paraId="062134AA">
      <w:pPr>
        <w:pStyle w:val="2"/>
        <w:spacing w:line="440" w:lineRule="exact"/>
        <w:jc w:val="center"/>
      </w:pPr>
      <w:bookmarkStart w:id="24" w:name="_Toc10569"/>
      <w:r>
        <w:rPr>
          <w:rFonts w:hint="eastAsia"/>
          <w:highlight w:val="white"/>
        </w:rPr>
        <w:t>第</w:t>
      </w:r>
      <w:r>
        <w:rPr>
          <w:rFonts w:hint="eastAsia"/>
          <w:highlight w:val="white"/>
          <w:lang w:eastAsia="zh-CN"/>
        </w:rPr>
        <w:t>四</w:t>
      </w:r>
      <w:r>
        <w:rPr>
          <w:rFonts w:hint="eastAsia"/>
          <w:highlight w:val="white"/>
        </w:rPr>
        <w:t xml:space="preserve">部分  </w:t>
      </w:r>
      <w:bookmarkEnd w:id="22"/>
      <w:r>
        <w:rPr>
          <w:rFonts w:hint="eastAsia"/>
          <w:highlight w:val="white"/>
        </w:rPr>
        <w:t>评审办法</w:t>
      </w:r>
      <w:bookmarkEnd w:id="23"/>
      <w:bookmarkEnd w:id="24"/>
    </w:p>
    <w:p w14:paraId="75ABC640">
      <w:pPr>
        <w:autoSpaceDE w:val="0"/>
        <w:autoSpaceDN w:val="0"/>
        <w:adjustRightInd w:val="0"/>
        <w:spacing w:line="440" w:lineRule="exact"/>
        <w:ind w:firstLine="482" w:firstLineChars="200"/>
        <w:rPr>
          <w:rFonts w:ascii="宋体" w:hAnsi="宋体"/>
          <w:sz w:val="24"/>
        </w:rPr>
      </w:pPr>
      <w:r>
        <w:rPr>
          <w:rFonts w:hint="eastAsia" w:ascii="宋体" w:hAnsi="宋体"/>
          <w:b/>
          <w:bCs/>
          <w:sz w:val="24"/>
        </w:rPr>
        <w:t>一、评审办法：</w:t>
      </w:r>
    </w:p>
    <w:p w14:paraId="7E112783">
      <w:pPr>
        <w:spacing w:line="360" w:lineRule="auto"/>
        <w:ind w:firstLine="480" w:firstLineChars="200"/>
        <w:rPr>
          <w:rFonts w:hint="eastAsia" w:ascii="宋体" w:hAnsi="宋体" w:cs="宋体"/>
          <w:sz w:val="24"/>
        </w:rPr>
      </w:pPr>
      <w:r>
        <w:rPr>
          <w:rFonts w:hint="eastAsia" w:ascii="宋体" w:hAnsi="宋体" w:cs="宋体"/>
          <w:sz w:val="24"/>
        </w:rPr>
        <w:t>本项目采用综合评分办法，评审小组严格按照招标文件规定的评分标准和要求，对响应文件进行综合评审，按得分高低顺序推荐中标候选人。</w:t>
      </w:r>
      <w:r>
        <w:rPr>
          <w:rFonts w:ascii="宋体" w:hAnsi="宋体" w:cs="宋体"/>
          <w:sz w:val="24"/>
        </w:rPr>
        <w:t>评分采用百分制，分项得分保留两位小数</w:t>
      </w:r>
      <w:r>
        <w:rPr>
          <w:rFonts w:hint="eastAsia" w:ascii="宋体" w:hAnsi="宋体" w:cs="宋体"/>
          <w:sz w:val="24"/>
        </w:rPr>
        <w:t>。具体评分细则如下：</w:t>
      </w:r>
    </w:p>
    <w:p w14:paraId="5BF56B5A">
      <w:pPr>
        <w:spacing w:line="440" w:lineRule="exact"/>
        <w:ind w:firstLine="482" w:firstLineChars="200"/>
        <w:jc w:val="left"/>
        <w:rPr>
          <w:rFonts w:ascii="宋体" w:hAnsi="宋体" w:cs="宋体"/>
          <w:sz w:val="24"/>
        </w:rPr>
      </w:pPr>
      <w:r>
        <w:rPr>
          <w:rFonts w:hint="eastAsia" w:ascii="宋体" w:hAnsi="宋体"/>
          <w:b/>
          <w:bCs/>
          <w:sz w:val="24"/>
        </w:rPr>
        <w:t>二、初步评审：</w:t>
      </w:r>
      <w:r>
        <w:rPr>
          <w:rFonts w:hint="eastAsia" w:ascii="宋体" w:hAnsi="宋体" w:cs="宋体"/>
          <w:sz w:val="24"/>
        </w:rPr>
        <w:t>评审小组首先按照下列指标对各响应人进行初步评审，未通过评审的为无效标，不再参与评审。</w:t>
      </w:r>
    </w:p>
    <w:tbl>
      <w:tblPr>
        <w:tblStyle w:val="31"/>
        <w:tblW w:w="5025"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673"/>
        <w:gridCol w:w="3691"/>
      </w:tblGrid>
      <w:tr w14:paraId="5B09AB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2A509D01">
            <w:pPr>
              <w:spacing w:line="440" w:lineRule="exact"/>
              <w:jc w:val="center"/>
              <w:rPr>
                <w:rFonts w:hint="eastAsia" w:ascii="宋体" w:hAnsi="宋体" w:cs="宋体"/>
                <w:b/>
                <w:bCs/>
              </w:rPr>
            </w:pPr>
            <w:r>
              <w:rPr>
                <w:rFonts w:hint="eastAsia" w:ascii="宋体" w:hAnsi="宋体" w:cs="宋体"/>
                <w:b/>
                <w:bCs/>
              </w:rPr>
              <w:t>评审因素</w:t>
            </w:r>
          </w:p>
        </w:tc>
        <w:tc>
          <w:tcPr>
            <w:tcW w:w="3691" w:type="dxa"/>
            <w:tcBorders>
              <w:top w:val="outset" w:color="auto" w:sz="6" w:space="0"/>
              <w:left w:val="outset" w:color="auto" w:sz="6" w:space="0"/>
              <w:bottom w:val="outset" w:color="auto" w:sz="6" w:space="0"/>
              <w:right w:val="outset" w:color="auto" w:sz="6" w:space="0"/>
            </w:tcBorders>
            <w:vAlign w:val="center"/>
          </w:tcPr>
          <w:p w14:paraId="4D5E35B2">
            <w:pPr>
              <w:spacing w:line="440" w:lineRule="exact"/>
              <w:jc w:val="center"/>
              <w:rPr>
                <w:rFonts w:hint="eastAsia" w:ascii="宋体" w:hAnsi="宋体" w:cs="宋体"/>
                <w:b/>
                <w:bCs/>
              </w:rPr>
            </w:pPr>
            <w:r>
              <w:rPr>
                <w:rFonts w:hint="eastAsia" w:ascii="宋体" w:hAnsi="宋体" w:cs="宋体"/>
                <w:b/>
                <w:bCs/>
              </w:rPr>
              <w:t>评审标准</w:t>
            </w:r>
          </w:p>
        </w:tc>
      </w:tr>
      <w:tr w14:paraId="6D2749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5533BB6E">
            <w:pPr>
              <w:spacing w:line="440" w:lineRule="exact"/>
              <w:jc w:val="left"/>
              <w:rPr>
                <w:rFonts w:hint="eastAsia" w:ascii="宋体" w:hAnsi="宋体" w:cs="宋体"/>
              </w:rPr>
            </w:pPr>
            <w:r>
              <w:rPr>
                <w:rFonts w:hint="eastAsia" w:ascii="宋体" w:hAnsi="宋体" w:cs="宋体"/>
              </w:rPr>
              <w:t>响应函</w:t>
            </w:r>
          </w:p>
        </w:tc>
        <w:tc>
          <w:tcPr>
            <w:tcW w:w="3691" w:type="dxa"/>
            <w:tcBorders>
              <w:top w:val="outset" w:color="auto" w:sz="6" w:space="0"/>
              <w:left w:val="outset" w:color="auto" w:sz="6" w:space="0"/>
              <w:bottom w:val="outset" w:color="auto" w:sz="6" w:space="0"/>
              <w:right w:val="outset" w:color="auto" w:sz="6" w:space="0"/>
            </w:tcBorders>
            <w:vAlign w:val="center"/>
          </w:tcPr>
          <w:p w14:paraId="22BFA153">
            <w:pPr>
              <w:spacing w:line="440" w:lineRule="exact"/>
              <w:jc w:val="left"/>
              <w:rPr>
                <w:rFonts w:hint="eastAsia" w:ascii="宋体" w:hAnsi="宋体" w:cs="宋体"/>
              </w:rPr>
            </w:pPr>
            <w:r>
              <w:rPr>
                <w:rFonts w:hint="eastAsia" w:ascii="宋体" w:hAnsi="宋体" w:cs="宋体"/>
              </w:rPr>
              <w:t>符合招标文件要求</w:t>
            </w:r>
          </w:p>
        </w:tc>
      </w:tr>
      <w:tr w14:paraId="368EA8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47251E12">
            <w:pPr>
              <w:spacing w:line="440" w:lineRule="exact"/>
              <w:jc w:val="left"/>
              <w:rPr>
                <w:rFonts w:hint="eastAsia" w:ascii="宋体" w:hAnsi="宋体" w:cs="宋体"/>
              </w:rPr>
            </w:pPr>
            <w:r>
              <w:rPr>
                <w:rFonts w:hint="eastAsia" w:ascii="宋体" w:hAnsi="宋体" w:cs="宋体"/>
              </w:rPr>
              <w:t>法人代表证明或法定代表人授权委托书</w:t>
            </w:r>
          </w:p>
        </w:tc>
        <w:tc>
          <w:tcPr>
            <w:tcW w:w="3691" w:type="dxa"/>
            <w:tcBorders>
              <w:top w:val="outset" w:color="auto" w:sz="6" w:space="0"/>
              <w:left w:val="outset" w:color="auto" w:sz="6" w:space="0"/>
              <w:bottom w:val="outset" w:color="auto" w:sz="6" w:space="0"/>
              <w:right w:val="outset" w:color="auto" w:sz="6" w:space="0"/>
            </w:tcBorders>
            <w:vAlign w:val="center"/>
          </w:tcPr>
          <w:p w14:paraId="48423D66">
            <w:pPr>
              <w:spacing w:line="440" w:lineRule="exact"/>
              <w:jc w:val="left"/>
              <w:rPr>
                <w:rFonts w:hint="eastAsia" w:ascii="宋体" w:hAnsi="宋体" w:cs="宋体"/>
              </w:rPr>
            </w:pPr>
            <w:r>
              <w:rPr>
                <w:rFonts w:hint="eastAsia" w:ascii="宋体" w:hAnsi="宋体" w:cs="宋体"/>
              </w:rPr>
              <w:t>符合招标文件要求</w:t>
            </w:r>
          </w:p>
        </w:tc>
      </w:tr>
      <w:tr w14:paraId="5EB906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6E94401C">
            <w:pPr>
              <w:spacing w:line="440" w:lineRule="exact"/>
              <w:jc w:val="left"/>
              <w:rPr>
                <w:rFonts w:hint="eastAsia" w:ascii="宋体" w:hAnsi="宋体" w:cs="宋体"/>
              </w:rPr>
            </w:pPr>
            <w:r>
              <w:rPr>
                <w:rFonts w:hint="eastAsia" w:ascii="宋体" w:hAnsi="宋体" w:cs="宋体"/>
              </w:rPr>
              <w:t>营业执照、税务登记证</w:t>
            </w:r>
          </w:p>
        </w:tc>
        <w:tc>
          <w:tcPr>
            <w:tcW w:w="3691" w:type="dxa"/>
            <w:tcBorders>
              <w:top w:val="outset" w:color="auto" w:sz="6" w:space="0"/>
              <w:left w:val="outset" w:color="auto" w:sz="6" w:space="0"/>
              <w:bottom w:val="outset" w:color="auto" w:sz="6" w:space="0"/>
              <w:right w:val="outset" w:color="auto" w:sz="6" w:space="0"/>
            </w:tcBorders>
            <w:vAlign w:val="center"/>
          </w:tcPr>
          <w:p w14:paraId="6FD71F8C">
            <w:pPr>
              <w:spacing w:line="440" w:lineRule="exact"/>
              <w:jc w:val="left"/>
              <w:rPr>
                <w:rFonts w:hint="eastAsia" w:ascii="宋体" w:hAnsi="宋体" w:cs="宋体"/>
              </w:rPr>
            </w:pPr>
            <w:r>
              <w:rPr>
                <w:rFonts w:hint="eastAsia" w:ascii="宋体" w:hAnsi="宋体" w:cs="宋体"/>
              </w:rPr>
              <w:t>合法有效</w:t>
            </w:r>
          </w:p>
        </w:tc>
      </w:tr>
      <w:tr w14:paraId="698274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217D84A0">
            <w:pPr>
              <w:spacing w:line="440" w:lineRule="exact"/>
              <w:jc w:val="left"/>
              <w:rPr>
                <w:rFonts w:hint="eastAsia" w:ascii="宋体" w:hAnsi="宋体" w:cs="宋体"/>
                <w:highlight w:val="yellow"/>
              </w:rPr>
            </w:pPr>
            <w:r>
              <w:rPr>
                <w:rFonts w:hint="eastAsia" w:ascii="宋体" w:hAnsi="宋体" w:cs="宋体"/>
              </w:rPr>
              <w:t>联合体响应</w:t>
            </w:r>
          </w:p>
        </w:tc>
        <w:tc>
          <w:tcPr>
            <w:tcW w:w="3691" w:type="dxa"/>
            <w:tcBorders>
              <w:top w:val="outset" w:color="auto" w:sz="6" w:space="0"/>
              <w:left w:val="outset" w:color="auto" w:sz="6" w:space="0"/>
              <w:bottom w:val="outset" w:color="auto" w:sz="6" w:space="0"/>
              <w:right w:val="outset" w:color="auto" w:sz="6" w:space="0"/>
            </w:tcBorders>
            <w:vAlign w:val="center"/>
          </w:tcPr>
          <w:p w14:paraId="55E0D7F3">
            <w:pPr>
              <w:spacing w:line="440" w:lineRule="exact"/>
              <w:jc w:val="left"/>
              <w:rPr>
                <w:rFonts w:hint="eastAsia" w:ascii="宋体" w:hAnsi="宋体" w:cs="宋体"/>
                <w:highlight w:val="yellow"/>
              </w:rPr>
            </w:pPr>
            <w:r>
              <w:rPr>
                <w:rFonts w:hint="eastAsia" w:ascii="宋体" w:hAnsi="宋体" w:cs="宋体"/>
              </w:rPr>
              <w:t>本项目不接受联合体响应</w:t>
            </w:r>
          </w:p>
        </w:tc>
      </w:tr>
      <w:tr w14:paraId="276C59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129238DF">
            <w:pPr>
              <w:spacing w:line="440" w:lineRule="exact"/>
              <w:jc w:val="left"/>
              <w:rPr>
                <w:rFonts w:hint="eastAsia" w:ascii="宋体" w:hAnsi="宋体" w:cs="宋体"/>
              </w:rPr>
            </w:pPr>
            <w:r>
              <w:rPr>
                <w:rFonts w:hint="eastAsia" w:ascii="宋体" w:hAnsi="宋体" w:cs="宋体"/>
              </w:rPr>
              <w:t>报价一览表及报价</w:t>
            </w:r>
          </w:p>
        </w:tc>
        <w:tc>
          <w:tcPr>
            <w:tcW w:w="3691" w:type="dxa"/>
            <w:tcBorders>
              <w:top w:val="outset" w:color="auto" w:sz="6" w:space="0"/>
              <w:left w:val="outset" w:color="auto" w:sz="6" w:space="0"/>
              <w:bottom w:val="outset" w:color="auto" w:sz="6" w:space="0"/>
              <w:right w:val="outset" w:color="auto" w:sz="6" w:space="0"/>
            </w:tcBorders>
            <w:vAlign w:val="center"/>
          </w:tcPr>
          <w:p w14:paraId="2BC06B2B">
            <w:pPr>
              <w:spacing w:line="440" w:lineRule="exact"/>
              <w:jc w:val="left"/>
              <w:rPr>
                <w:rFonts w:hint="eastAsia" w:ascii="宋体" w:hAnsi="宋体" w:cs="宋体"/>
              </w:rPr>
            </w:pPr>
            <w:r>
              <w:rPr>
                <w:rFonts w:hint="eastAsia" w:ascii="宋体" w:hAnsi="宋体" w:cs="宋体"/>
              </w:rPr>
              <w:t>格式、填写要求符合招标文件规定</w:t>
            </w:r>
          </w:p>
        </w:tc>
      </w:tr>
      <w:tr w14:paraId="1AE4E6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4A067F82">
            <w:pPr>
              <w:spacing w:line="440" w:lineRule="exact"/>
              <w:jc w:val="left"/>
              <w:rPr>
                <w:rFonts w:hint="eastAsia" w:ascii="宋体" w:hAnsi="宋体" w:cs="宋体"/>
              </w:rPr>
            </w:pPr>
            <w:r>
              <w:rPr>
                <w:rFonts w:hint="eastAsia" w:ascii="宋体" w:hAnsi="宋体" w:cs="宋体"/>
              </w:rPr>
              <w:t>技术标准和要求</w:t>
            </w:r>
          </w:p>
        </w:tc>
        <w:tc>
          <w:tcPr>
            <w:tcW w:w="3691" w:type="dxa"/>
            <w:tcBorders>
              <w:top w:val="outset" w:color="auto" w:sz="6" w:space="0"/>
              <w:left w:val="outset" w:color="auto" w:sz="6" w:space="0"/>
              <w:bottom w:val="outset" w:color="auto" w:sz="6" w:space="0"/>
              <w:right w:val="outset" w:color="auto" w:sz="6" w:space="0"/>
            </w:tcBorders>
            <w:vAlign w:val="center"/>
          </w:tcPr>
          <w:p w14:paraId="24990EA0">
            <w:pPr>
              <w:spacing w:line="440" w:lineRule="exact"/>
              <w:jc w:val="left"/>
              <w:rPr>
                <w:rFonts w:hint="eastAsia" w:ascii="宋体" w:hAnsi="宋体" w:cs="宋体"/>
              </w:rPr>
            </w:pPr>
            <w:r>
              <w:rPr>
                <w:rFonts w:hint="eastAsia" w:ascii="宋体" w:hAnsi="宋体" w:cs="宋体"/>
              </w:rPr>
              <w:t>符合招标文件要求</w:t>
            </w:r>
          </w:p>
        </w:tc>
      </w:tr>
      <w:tr w14:paraId="3430A2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3" w:hRule="atLeast"/>
        </w:trPr>
        <w:tc>
          <w:tcPr>
            <w:tcW w:w="4673" w:type="dxa"/>
            <w:tcBorders>
              <w:top w:val="outset" w:color="auto" w:sz="6" w:space="0"/>
              <w:left w:val="outset" w:color="auto" w:sz="6" w:space="0"/>
              <w:bottom w:val="outset" w:color="auto" w:sz="6" w:space="0"/>
              <w:right w:val="outset" w:color="auto" w:sz="6" w:space="0"/>
            </w:tcBorders>
            <w:vAlign w:val="center"/>
          </w:tcPr>
          <w:p w14:paraId="6D2FF011">
            <w:pPr>
              <w:spacing w:line="440" w:lineRule="exact"/>
              <w:jc w:val="left"/>
              <w:rPr>
                <w:rFonts w:hint="eastAsia" w:ascii="宋体" w:hAnsi="宋体" w:cs="宋体"/>
              </w:rPr>
            </w:pPr>
            <w:r>
              <w:rPr>
                <w:rFonts w:hint="eastAsia" w:ascii="宋体" w:hAnsi="宋体" w:cs="宋体"/>
              </w:rPr>
              <w:t>其他</w:t>
            </w:r>
          </w:p>
        </w:tc>
        <w:tc>
          <w:tcPr>
            <w:tcW w:w="3691" w:type="dxa"/>
            <w:tcBorders>
              <w:top w:val="outset" w:color="auto" w:sz="6" w:space="0"/>
              <w:left w:val="outset" w:color="auto" w:sz="6" w:space="0"/>
              <w:bottom w:val="outset" w:color="auto" w:sz="6" w:space="0"/>
              <w:right w:val="outset" w:color="auto" w:sz="6" w:space="0"/>
            </w:tcBorders>
            <w:vAlign w:val="center"/>
          </w:tcPr>
          <w:p w14:paraId="07A30A50">
            <w:pPr>
              <w:spacing w:line="440" w:lineRule="exact"/>
              <w:jc w:val="left"/>
              <w:rPr>
                <w:rFonts w:hint="eastAsia" w:ascii="宋体" w:hAnsi="宋体" w:cs="宋体"/>
              </w:rPr>
            </w:pPr>
            <w:r>
              <w:rPr>
                <w:rFonts w:hint="eastAsia" w:ascii="宋体" w:hAnsi="宋体" w:cs="宋体"/>
              </w:rPr>
              <w:t>符合招标文件要求</w:t>
            </w:r>
          </w:p>
        </w:tc>
      </w:tr>
    </w:tbl>
    <w:p w14:paraId="7393953F">
      <w:pPr>
        <w:numPr>
          <w:ilvl w:val="0"/>
          <w:numId w:val="1"/>
        </w:numPr>
        <w:spacing w:line="440" w:lineRule="exact"/>
        <w:jc w:val="left"/>
        <w:rPr>
          <w:rFonts w:hint="eastAsia" w:ascii="宋体" w:hAnsi="宋体" w:cs="宋体"/>
          <w:sz w:val="24"/>
        </w:rPr>
      </w:pPr>
      <w:r>
        <w:rPr>
          <w:rFonts w:hint="eastAsia" w:ascii="宋体" w:hAnsi="宋体"/>
          <w:b/>
          <w:bCs/>
          <w:sz w:val="24"/>
        </w:rPr>
        <w:t>详细评审:</w:t>
      </w:r>
      <w:r>
        <w:rPr>
          <w:rFonts w:hint="eastAsia" w:ascii="宋体" w:hAnsi="宋体" w:cs="宋体"/>
          <w:sz w:val="24"/>
        </w:rPr>
        <w:t>评审小组按照招标文件规定的评分标准，对各响应文件进行详细评审打分。评审小组组长对各评审专家的打分情况进行复核无误后汇总。</w:t>
      </w:r>
    </w:p>
    <w:tbl>
      <w:tblPr>
        <w:tblStyle w:val="3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60"/>
        <w:gridCol w:w="6465"/>
        <w:gridCol w:w="989"/>
      </w:tblGrid>
      <w:tr w14:paraId="6950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0" w:type="dxa"/>
            <w:vAlign w:val="center"/>
          </w:tcPr>
          <w:p w14:paraId="4EABBB26">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序号</w:t>
            </w:r>
          </w:p>
        </w:tc>
        <w:tc>
          <w:tcPr>
            <w:tcW w:w="960" w:type="dxa"/>
            <w:vAlign w:val="center"/>
          </w:tcPr>
          <w:p w14:paraId="49A9788D">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评分内容</w:t>
            </w:r>
          </w:p>
        </w:tc>
        <w:tc>
          <w:tcPr>
            <w:tcW w:w="6465" w:type="dxa"/>
            <w:vAlign w:val="center"/>
          </w:tcPr>
          <w:p w14:paraId="6AA7FD13">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评审细则</w:t>
            </w:r>
          </w:p>
        </w:tc>
        <w:tc>
          <w:tcPr>
            <w:tcW w:w="989" w:type="dxa"/>
            <w:vAlign w:val="center"/>
          </w:tcPr>
          <w:p w14:paraId="4771AE67">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分值（100分）</w:t>
            </w:r>
          </w:p>
        </w:tc>
      </w:tr>
      <w:tr w14:paraId="1D5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0" w:type="dxa"/>
            <w:shd w:val="clear" w:color="auto" w:fill="auto"/>
            <w:vAlign w:val="center"/>
          </w:tcPr>
          <w:p w14:paraId="3EF3562F">
            <w:pPr>
              <w:autoSpaceDE w:val="0"/>
              <w:autoSpaceDN w:val="0"/>
              <w:spacing w:before="74"/>
              <w:ind w:right="158" w:rightChars="0"/>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sz w:val="22"/>
                <w:szCs w:val="22"/>
                <w:highlight w:val="none"/>
                <w:vertAlign w:val="baseline"/>
                <w:lang w:val="en-US" w:eastAsia="zh-CN"/>
              </w:rPr>
              <w:t>1</w:t>
            </w:r>
          </w:p>
        </w:tc>
        <w:tc>
          <w:tcPr>
            <w:tcW w:w="960" w:type="dxa"/>
            <w:vAlign w:val="center"/>
          </w:tcPr>
          <w:p w14:paraId="76EEC0E8">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投标报价</w:t>
            </w:r>
          </w:p>
        </w:tc>
        <w:tc>
          <w:tcPr>
            <w:tcW w:w="6465" w:type="dxa"/>
            <w:vAlign w:val="center"/>
          </w:tcPr>
          <w:p w14:paraId="7B2DB856">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按照供应商给采购人的</w:t>
            </w:r>
            <w:r>
              <w:rPr>
                <w:rFonts w:hint="eastAsia" w:ascii="宋体" w:hAnsi="宋体" w:eastAsia="宋体" w:cs="宋体"/>
                <w:i w:val="0"/>
                <w:iCs w:val="0"/>
                <w:color w:val="000000"/>
                <w:kern w:val="0"/>
                <w:sz w:val="22"/>
                <w:szCs w:val="22"/>
                <w:highlight w:val="none"/>
                <w:u w:val="none"/>
                <w:lang w:val="en-US" w:eastAsia="zh-CN" w:bidi="ar"/>
              </w:rPr>
              <w:t>收费</w:t>
            </w:r>
            <w:r>
              <w:rPr>
                <w:rFonts w:hint="eastAsia" w:ascii="宋体" w:hAnsi="宋体" w:cs="宋体"/>
                <w:i w:val="0"/>
                <w:iCs w:val="0"/>
                <w:color w:val="000000"/>
                <w:kern w:val="0"/>
                <w:sz w:val="22"/>
                <w:szCs w:val="22"/>
                <w:highlight w:val="none"/>
                <w:u w:val="none"/>
                <w:lang w:val="en-US" w:eastAsia="zh-CN" w:bidi="ar"/>
              </w:rPr>
              <w:t>比例</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收费比例</w:t>
            </w:r>
            <w:r>
              <w:rPr>
                <w:rFonts w:hint="eastAsia" w:ascii="宋体" w:hAnsi="宋体" w:eastAsia="宋体" w:cs="宋体"/>
                <w:i w:val="0"/>
                <w:iCs w:val="0"/>
                <w:color w:val="000000"/>
                <w:kern w:val="0"/>
                <w:sz w:val="22"/>
                <w:szCs w:val="22"/>
                <w:highlight w:val="none"/>
                <w:u w:val="none"/>
                <w:lang w:val="en-US" w:eastAsia="zh-CN" w:bidi="ar"/>
              </w:rPr>
              <w:t>最低的为评审基准折扣，其价格分为满分</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0分。其他响应报价得分＝（评审基准折扣/响应折扣）*</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0分</w:t>
            </w:r>
          </w:p>
        </w:tc>
        <w:tc>
          <w:tcPr>
            <w:tcW w:w="989" w:type="dxa"/>
            <w:vAlign w:val="center"/>
          </w:tcPr>
          <w:p w14:paraId="46A2B16A">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20</w:t>
            </w:r>
          </w:p>
        </w:tc>
      </w:tr>
      <w:tr w14:paraId="5F3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70" w:type="dxa"/>
            <w:shd w:val="clear" w:color="auto" w:fill="auto"/>
            <w:vAlign w:val="center"/>
          </w:tcPr>
          <w:p w14:paraId="1751ADB9">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2</w:t>
            </w:r>
          </w:p>
        </w:tc>
        <w:tc>
          <w:tcPr>
            <w:tcW w:w="960" w:type="dxa"/>
            <w:vAlign w:val="center"/>
          </w:tcPr>
          <w:p w14:paraId="5082EF3F">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需求响应情况</w:t>
            </w:r>
          </w:p>
        </w:tc>
        <w:tc>
          <w:tcPr>
            <w:tcW w:w="6465" w:type="dxa"/>
            <w:vAlign w:val="center"/>
          </w:tcPr>
          <w:p w14:paraId="7F78C5A1">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根据响应方对采购需求的指标响应程度进行评价打分，其中对采购需求中标注“▲”的重要技术指标不能响应或负偏离每项扣3分；其他一般技术指标不能响应或负偏离每项扣1分；最高扣20分。</w:t>
            </w:r>
          </w:p>
        </w:tc>
        <w:tc>
          <w:tcPr>
            <w:tcW w:w="989" w:type="dxa"/>
            <w:vAlign w:val="center"/>
          </w:tcPr>
          <w:p w14:paraId="39BC8128">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20</w:t>
            </w:r>
          </w:p>
        </w:tc>
      </w:tr>
      <w:tr w14:paraId="29F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0" w:type="dxa"/>
            <w:shd w:val="clear" w:color="auto" w:fill="auto"/>
            <w:vAlign w:val="center"/>
          </w:tcPr>
          <w:p w14:paraId="3C84C21D">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3</w:t>
            </w:r>
          </w:p>
        </w:tc>
        <w:tc>
          <w:tcPr>
            <w:tcW w:w="960" w:type="dxa"/>
            <w:vAlign w:val="center"/>
          </w:tcPr>
          <w:p w14:paraId="23A000BD">
            <w:pPr>
              <w:autoSpaceDE w:val="0"/>
              <w:autoSpaceDN w:val="0"/>
              <w:spacing w:before="74"/>
              <w:ind w:right="158" w:rightChars="0"/>
              <w:jc w:val="center"/>
              <w:rPr>
                <w:rFonts w:hint="default"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运营服务</w:t>
            </w:r>
          </w:p>
        </w:tc>
        <w:tc>
          <w:tcPr>
            <w:tcW w:w="6465" w:type="dxa"/>
            <w:vAlign w:val="center"/>
          </w:tcPr>
          <w:p w14:paraId="04778C71">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供应商数量充足，能够满足采购人科研采购需求：供应商数量≥8000家，得5分，≥5000家，小于8000家，得3分；≥2000家，小于5000家，得1分；小于2000家，不得分。提供系统供应商数量截图，支持现场核验。</w:t>
            </w:r>
          </w:p>
          <w:p w14:paraId="27FBB7E6">
            <w:pPr>
              <w:keepNext w:val="0"/>
              <w:keepLines w:val="0"/>
              <w:widowControl/>
              <w:suppressLineNumbers w:val="0"/>
              <w:jc w:val="left"/>
              <w:textAlignment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具备完善的价格管理机制，含大客户交易优惠价格、营销活动等，份数≥50家，得5分；大于30家，小于50家，得3分；小于30家，不得分。提供大客户价格优惠协议证明资料。</w:t>
            </w:r>
          </w:p>
        </w:tc>
        <w:tc>
          <w:tcPr>
            <w:tcW w:w="989" w:type="dxa"/>
            <w:vAlign w:val="center"/>
          </w:tcPr>
          <w:p w14:paraId="377ED979">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w:t>
            </w:r>
            <w:r>
              <w:rPr>
                <w:rFonts w:hint="eastAsia" w:ascii="宋体" w:hAnsi="宋体" w:cs="宋体"/>
                <w:color w:val="000000"/>
                <w:sz w:val="22"/>
                <w:szCs w:val="22"/>
                <w:highlight w:val="none"/>
                <w:vertAlign w:val="baseline"/>
                <w:lang w:val="en-US" w:eastAsia="zh-CN"/>
              </w:rPr>
              <w:t>0</w:t>
            </w:r>
          </w:p>
        </w:tc>
      </w:tr>
      <w:tr w14:paraId="3446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70" w:type="dxa"/>
            <w:shd w:val="clear" w:color="auto" w:fill="auto"/>
            <w:vAlign w:val="center"/>
          </w:tcPr>
          <w:p w14:paraId="3987EBF6">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4</w:t>
            </w:r>
          </w:p>
        </w:tc>
        <w:tc>
          <w:tcPr>
            <w:tcW w:w="960" w:type="dxa"/>
            <w:vAlign w:val="center"/>
          </w:tcPr>
          <w:p w14:paraId="43C422B0">
            <w:pPr>
              <w:autoSpaceDE w:val="0"/>
              <w:autoSpaceDN w:val="0"/>
              <w:spacing w:before="74"/>
              <w:ind w:right="158" w:rightChars="0"/>
              <w:jc w:val="center"/>
              <w:rPr>
                <w:rFonts w:hint="default"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单位</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实力</w:t>
            </w:r>
          </w:p>
        </w:tc>
        <w:tc>
          <w:tcPr>
            <w:tcW w:w="6465" w:type="dxa"/>
            <w:vAlign w:val="center"/>
          </w:tcPr>
          <w:p w14:paraId="417E510B">
            <w:pPr>
              <w:autoSpaceDE w:val="0"/>
              <w:autoSpaceDN w:val="0"/>
              <w:spacing w:before="74" w:line="240" w:lineRule="auto"/>
              <w:ind w:right="158"/>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1、投标系统具备软件国家信息安全等保三级备案证明，得2分；</w:t>
            </w:r>
          </w:p>
          <w:p w14:paraId="4FB60421">
            <w:pPr>
              <w:autoSpaceDE w:val="0"/>
              <w:autoSpaceDN w:val="0"/>
              <w:spacing w:before="74" w:line="240" w:lineRule="auto"/>
              <w:ind w:right="158"/>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2、具有有效的IS09001管理体系认证证书、增值电信业务经营许可证、互联网药品信息服务资格证书、省级及以上的专精特新证书，每个证书计2分，最多得6分；</w:t>
            </w:r>
          </w:p>
          <w:p w14:paraId="46D99FD2">
            <w:pPr>
              <w:autoSpaceDE w:val="0"/>
              <w:autoSpaceDN w:val="0"/>
              <w:spacing w:before="74" w:line="240" w:lineRule="auto"/>
              <w:ind w:right="158"/>
              <w:jc w:val="left"/>
              <w:rPr>
                <w:rFonts w:hint="default"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3、被纳入全国任意省份政府采购平台的，并提</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供证明，得2分。</w:t>
            </w:r>
          </w:p>
        </w:tc>
        <w:tc>
          <w:tcPr>
            <w:tcW w:w="989" w:type="dxa"/>
            <w:vAlign w:val="center"/>
          </w:tcPr>
          <w:p w14:paraId="6FF774B2">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w:t>
            </w:r>
            <w:r>
              <w:rPr>
                <w:rFonts w:hint="eastAsia" w:ascii="宋体" w:hAnsi="宋体" w:cs="宋体"/>
                <w:color w:val="000000"/>
                <w:sz w:val="22"/>
                <w:szCs w:val="22"/>
                <w:highlight w:val="none"/>
                <w:vertAlign w:val="baseline"/>
                <w:lang w:val="en-US" w:eastAsia="zh-CN"/>
              </w:rPr>
              <w:t>0</w:t>
            </w:r>
          </w:p>
        </w:tc>
      </w:tr>
      <w:tr w14:paraId="237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70" w:type="dxa"/>
            <w:shd w:val="clear" w:color="auto" w:fill="auto"/>
            <w:vAlign w:val="center"/>
          </w:tcPr>
          <w:p w14:paraId="557973C3">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5</w:t>
            </w:r>
          </w:p>
        </w:tc>
        <w:tc>
          <w:tcPr>
            <w:tcW w:w="960" w:type="dxa"/>
            <w:vAlign w:val="center"/>
          </w:tcPr>
          <w:p w14:paraId="72B32CDE">
            <w:pPr>
              <w:autoSpaceDE w:val="0"/>
              <w:autoSpaceDN w:val="0"/>
              <w:spacing w:before="74"/>
              <w:ind w:right="158" w:rightChars="0"/>
              <w:jc w:val="center"/>
              <w:rPr>
                <w:rFonts w:hint="eastAsia"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服务团队</w:t>
            </w:r>
          </w:p>
        </w:tc>
        <w:tc>
          <w:tcPr>
            <w:tcW w:w="6465" w:type="dxa"/>
            <w:vAlign w:val="center"/>
          </w:tcPr>
          <w:p w14:paraId="20C5C278">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拟投入本项目的技术服务团队成员进行综合考量：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1.项目团队负责人（本项最高得5分）：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1.1有高校实验室工作经历，并具有中级及以上职称得2分；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1.2具有医药类、生物学、物理或化学专业教育背景，获得学士学位1分，硕士学位得2分，博士学位得3分；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2．项目团队成员（本项最高得</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2.1具有系统集成项目管理工程师、软件设计师、电子商务师、PMP证书，如一人有多个证书的，按人进行计算，每人得1分，本小项最高得</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2.2具有计算机技术及软件、化学、生物或医药类相关专业教育背景，获得学士学位得1分，硕士学位及以上得2分，本小项最高得</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（须提交服务团队人员缴纳至少3个月社保记录证明材料、学历学位及相关证书复印件）</w:t>
            </w:r>
          </w:p>
        </w:tc>
        <w:tc>
          <w:tcPr>
            <w:tcW w:w="989" w:type="dxa"/>
            <w:vAlign w:val="center"/>
          </w:tcPr>
          <w:p w14:paraId="48A98374">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15</w:t>
            </w:r>
          </w:p>
        </w:tc>
      </w:tr>
      <w:tr w14:paraId="297B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70" w:type="dxa"/>
            <w:vAlign w:val="center"/>
          </w:tcPr>
          <w:p w14:paraId="46418F63">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6</w:t>
            </w:r>
          </w:p>
        </w:tc>
        <w:tc>
          <w:tcPr>
            <w:tcW w:w="960" w:type="dxa"/>
            <w:vAlign w:val="center"/>
          </w:tcPr>
          <w:p w14:paraId="7D6D4916">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同类项目业绩</w:t>
            </w:r>
          </w:p>
        </w:tc>
        <w:tc>
          <w:tcPr>
            <w:tcW w:w="6465" w:type="dxa"/>
            <w:vAlign w:val="center"/>
          </w:tcPr>
          <w:p w14:paraId="41ABD44F">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供应商</w:t>
            </w:r>
            <w:r>
              <w:rPr>
                <w:rFonts w:hint="eastAsia" w:ascii="宋体" w:hAnsi="宋体" w:cs="宋体"/>
                <w:i w:val="0"/>
                <w:iCs w:val="0"/>
                <w:color w:val="000000"/>
                <w:kern w:val="0"/>
                <w:sz w:val="22"/>
                <w:szCs w:val="22"/>
                <w:highlight w:val="none"/>
                <w:u w:val="none"/>
                <w:lang w:val="en-US" w:eastAsia="zh-CN" w:bidi="ar"/>
              </w:rPr>
              <w:t>提供</w:t>
            </w:r>
            <w:r>
              <w:rPr>
                <w:rFonts w:hint="eastAsia" w:ascii="宋体" w:hAnsi="宋体" w:eastAsia="宋体" w:cs="宋体"/>
                <w:i w:val="0"/>
                <w:iCs w:val="0"/>
                <w:color w:val="000000"/>
                <w:kern w:val="0"/>
                <w:sz w:val="22"/>
                <w:szCs w:val="22"/>
                <w:highlight w:val="none"/>
                <w:u w:val="none"/>
                <w:lang w:val="zh-CN" w:eastAsia="zh-CN" w:bidi="ar"/>
              </w:rPr>
              <w:t>自202</w:t>
            </w: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zh-CN" w:eastAsia="zh-CN" w:bidi="ar"/>
              </w:rPr>
              <w:t>年1月1日以来（</w:t>
            </w:r>
            <w:r>
              <w:rPr>
                <w:rFonts w:hint="eastAsia" w:ascii="宋体" w:hAnsi="宋体" w:eastAsia="宋体" w:cs="宋体"/>
                <w:i w:val="0"/>
                <w:iCs w:val="0"/>
                <w:color w:val="000000"/>
                <w:kern w:val="0"/>
                <w:sz w:val="22"/>
                <w:szCs w:val="22"/>
                <w:highlight w:val="none"/>
                <w:u w:val="none"/>
                <w:lang w:val="en-US" w:eastAsia="zh-CN" w:bidi="ar"/>
              </w:rPr>
              <w:t>以合同签订时间为准</w:t>
            </w:r>
            <w:r>
              <w:rPr>
                <w:rFonts w:hint="eastAsia" w:ascii="宋体" w:hAnsi="宋体" w:eastAsia="宋体" w:cs="宋体"/>
                <w:i w:val="0"/>
                <w:iCs w:val="0"/>
                <w:color w:val="000000"/>
                <w:kern w:val="0"/>
                <w:sz w:val="22"/>
                <w:szCs w:val="22"/>
                <w:highlight w:val="none"/>
                <w:u w:val="none"/>
                <w:lang w:val="zh-CN" w:eastAsia="zh-CN" w:bidi="ar"/>
              </w:rPr>
              <w:t>）类似销售业绩，</w:t>
            </w:r>
            <w:r>
              <w:rPr>
                <w:rFonts w:hint="eastAsia" w:ascii="宋体" w:hAnsi="宋体" w:eastAsia="宋体" w:cs="宋体"/>
                <w:i w:val="0"/>
                <w:iCs w:val="0"/>
                <w:color w:val="000000"/>
                <w:kern w:val="0"/>
                <w:sz w:val="22"/>
                <w:szCs w:val="22"/>
                <w:highlight w:val="none"/>
                <w:u w:val="none"/>
                <w:lang w:val="en-US" w:eastAsia="zh-CN" w:bidi="ar"/>
              </w:rPr>
              <w:t>每提交一份承接过同类项目（科研、办公、实验耗材采购平台服务项目）业绩合同复印件，每个得1分，最高得10分。</w:t>
            </w:r>
          </w:p>
        </w:tc>
        <w:tc>
          <w:tcPr>
            <w:tcW w:w="989" w:type="dxa"/>
            <w:vAlign w:val="center"/>
          </w:tcPr>
          <w:p w14:paraId="167EB762">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10</w:t>
            </w:r>
          </w:p>
        </w:tc>
      </w:tr>
      <w:tr w14:paraId="6C35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70" w:type="dxa"/>
            <w:vAlign w:val="center"/>
          </w:tcPr>
          <w:p w14:paraId="3ACCFE48">
            <w:pPr>
              <w:autoSpaceDE w:val="0"/>
              <w:autoSpaceDN w:val="0"/>
              <w:spacing w:before="74"/>
              <w:ind w:right="158"/>
              <w:jc w:val="center"/>
              <w:rPr>
                <w:rFonts w:hint="default" w:ascii="宋体" w:hAnsi="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7</w:t>
            </w:r>
          </w:p>
        </w:tc>
        <w:tc>
          <w:tcPr>
            <w:tcW w:w="960" w:type="dxa"/>
            <w:shd w:val="clear" w:color="auto" w:fill="auto"/>
            <w:vAlign w:val="center"/>
          </w:tcPr>
          <w:p w14:paraId="68D71EB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演示及答辩情况评价</w:t>
            </w:r>
          </w:p>
        </w:tc>
        <w:tc>
          <w:tcPr>
            <w:tcW w:w="6465" w:type="dxa"/>
            <w:shd w:val="clear" w:color="auto" w:fill="auto"/>
            <w:vAlign w:val="center"/>
          </w:tcPr>
          <w:p w14:paraId="214573CF">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演示和答辩过程是否对项目建设要点分析到位，重点对系统平台功能操作演示，演示时间不超过15分钟。演示包括但不限以下内容：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1、商品价格指导及管控演示：根据采购申请的商品近一年成交均价提醒采购用户合理控制价格；提交审批时与供应商议价改价；限制商品采购价格区间等</w:t>
            </w:r>
          </w:p>
          <w:p w14:paraId="6E428331">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、微信及</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企业微信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端采购审批、</w:t>
            </w:r>
            <w:r>
              <w:rPr>
                <w:rFonts w:hint="eastAsia" w:ascii="宋体" w:hAnsi="宋体" w:eastAsia="宋体" w:cs="宋体"/>
                <w:i w:val="0"/>
                <w:iCs w:val="0"/>
                <w:color w:val="000000"/>
                <w:kern w:val="0"/>
                <w:sz w:val="22"/>
                <w:szCs w:val="22"/>
                <w:highlight w:val="none"/>
                <w:u w:val="none"/>
                <w:lang w:val="en-US" w:eastAsia="zh-CN" w:bidi="ar"/>
              </w:rPr>
              <w:t>验收提醒等消息推送功能演示；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3、实现多种验收方式；验收后提交入库，可支持多库房选择，并进行入库审批、出库领用、库存统计功能演示；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4、经费预算控制，经费使用授权、审批授权等功能演示；</w:t>
            </w:r>
          </w:p>
          <w:p w14:paraId="0E510029">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5、多维度多角度统计分析人员、供应商、经费、商品等数据，可自定义导出相应数据，自动生成可视化数据看板演示。</w:t>
            </w:r>
          </w:p>
          <w:p w14:paraId="694D8BEB">
            <w:pPr>
              <w:keepNext w:val="0"/>
              <w:keepLines w:val="0"/>
              <w:widowControl/>
              <w:suppressLineNumbers w:val="0"/>
              <w:jc w:val="left"/>
              <w:textAlignment w:val="auto"/>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报名单位根据以上演示要点在真实的生产环境中进行演示，根据报名单位演示内容与建设需求契合程度进行评分。各条单独计分，其中各条完全契合得</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分，一般契合得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分，不契合不得分。</w:t>
            </w:r>
          </w:p>
        </w:tc>
        <w:tc>
          <w:tcPr>
            <w:tcW w:w="989" w:type="dxa"/>
            <w:vAlign w:val="center"/>
          </w:tcPr>
          <w:p w14:paraId="3BBE19C0">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15</w:t>
            </w:r>
          </w:p>
        </w:tc>
      </w:tr>
    </w:tbl>
    <w:p w14:paraId="55224B92">
      <w:pPr>
        <w:spacing w:line="490" w:lineRule="exact"/>
        <w:rPr>
          <w:rFonts w:hint="eastAsia" w:ascii="宋体" w:hAnsi="宋体" w:cs="宋体"/>
          <w:sz w:val="24"/>
          <w:szCs w:val="24"/>
          <w:u w:val="none" w:color="000000"/>
        </w:rPr>
      </w:pPr>
      <w:r>
        <w:rPr>
          <w:rFonts w:ascii="宋体" w:hAnsi="宋体" w:cs="宋体"/>
          <w:sz w:val="24"/>
          <w:szCs w:val="24"/>
          <w:u w:val="none" w:color="000000"/>
        </w:rPr>
        <w:t>注：1、在本项评分标准中材料提供复印件的，代理公司须保证复印件与原件一致，并加盖公章。签订合同前，</w:t>
      </w:r>
      <w:r>
        <w:rPr>
          <w:rFonts w:hint="eastAsia" w:ascii="宋体" w:hAnsi="宋体" w:cs="宋体"/>
          <w:sz w:val="24"/>
          <w:szCs w:val="24"/>
          <w:u w:val="none" w:color="000000"/>
        </w:rPr>
        <w:t>招标</w:t>
      </w:r>
      <w:r>
        <w:rPr>
          <w:rFonts w:ascii="宋体" w:hAnsi="宋体" w:cs="宋体"/>
          <w:sz w:val="24"/>
          <w:szCs w:val="24"/>
          <w:u w:val="none" w:color="000000"/>
        </w:rPr>
        <w:t>单位有权对原件进行进一步核实。</w:t>
      </w:r>
    </w:p>
    <w:p w14:paraId="7F5F261F">
      <w:pPr>
        <w:spacing w:line="490" w:lineRule="exact"/>
        <w:rPr>
          <w:rFonts w:hint="eastAsia" w:ascii="宋体" w:hAnsi="宋体" w:cs="宋体"/>
          <w:sz w:val="24"/>
          <w:szCs w:val="24"/>
          <w:u w:val="none" w:color="000000"/>
        </w:rPr>
      </w:pPr>
      <w:r>
        <w:rPr>
          <w:rFonts w:ascii="宋体" w:hAnsi="宋体" w:cs="宋体"/>
          <w:sz w:val="24"/>
          <w:szCs w:val="24"/>
          <w:u w:val="none" w:color="000000"/>
        </w:rPr>
        <w:t>2、项目采用百分制，评审保留至小数点后两位。</w:t>
      </w:r>
    </w:p>
    <w:p w14:paraId="496C4DAE">
      <w:pPr>
        <w:adjustRightInd w:val="0"/>
        <w:snapToGrid w:val="0"/>
        <w:spacing w:line="440" w:lineRule="exact"/>
        <w:ind w:right="-10"/>
        <w:rPr>
          <w:rFonts w:hint="eastAsia"/>
          <w:lang w:val="en-US" w:eastAsia="zh-CN"/>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hint="eastAsia" w:ascii="宋体" w:hAnsi="宋体"/>
          <w:b/>
          <w:bCs/>
          <w:sz w:val="24"/>
        </w:rPr>
        <w:t>四、评审结果:</w:t>
      </w:r>
      <w:r>
        <w:rPr>
          <w:rFonts w:hint="eastAsia" w:ascii="宋体" w:hAnsi="宋体" w:cs="宋体"/>
          <w:sz w:val="24"/>
        </w:rPr>
        <w:t>评审小组按照本办法规定推荐中标候选人，并形成评审报告。</w:t>
      </w:r>
    </w:p>
    <w:p w14:paraId="0764B104">
      <w:pPr>
        <w:pStyle w:val="2"/>
        <w:spacing w:line="440" w:lineRule="exact"/>
        <w:jc w:val="center"/>
        <w:rPr>
          <w:rFonts w:hint="eastAsia"/>
        </w:rPr>
      </w:pPr>
      <w:bookmarkStart w:id="25" w:name="_Toc7099"/>
      <w:bookmarkStart w:id="26" w:name="_Toc3341"/>
      <w:r>
        <w:rPr>
          <w:rFonts w:hint="eastAsia"/>
          <w:highlight w:val="white"/>
        </w:rPr>
        <w:t>第五部分</w:t>
      </w:r>
      <w:r>
        <w:rPr>
          <w:rFonts w:hint="eastAsia"/>
        </w:rPr>
        <w:t xml:space="preserve">  响应文件格式</w:t>
      </w:r>
      <w:bookmarkEnd w:id="25"/>
      <w:bookmarkEnd w:id="26"/>
    </w:p>
    <w:p w14:paraId="34B8A8A7">
      <w:pPr>
        <w:pStyle w:val="103"/>
        <w:spacing w:line="440" w:lineRule="exact"/>
        <w:rPr>
          <w:b w:val="0"/>
        </w:rPr>
      </w:pPr>
      <w:r>
        <w:rPr>
          <w:rFonts w:hint="eastAsia"/>
          <w:b w:val="0"/>
        </w:rPr>
        <w:t>封面</w:t>
      </w:r>
    </w:p>
    <w:p w14:paraId="03C326CF">
      <w:pPr>
        <w:pStyle w:val="103"/>
        <w:spacing w:line="440" w:lineRule="exact"/>
        <w:jc w:val="center"/>
        <w:rPr>
          <w:b w:val="0"/>
        </w:rPr>
      </w:pPr>
    </w:p>
    <w:p w14:paraId="08A6F546">
      <w:pPr>
        <w:pStyle w:val="103"/>
        <w:spacing w:line="440" w:lineRule="exact"/>
        <w:jc w:val="center"/>
        <w:rPr>
          <w:b w:val="0"/>
        </w:rPr>
      </w:pPr>
    </w:p>
    <w:p w14:paraId="5E5477BF">
      <w:pPr>
        <w:pStyle w:val="103"/>
        <w:spacing w:line="440" w:lineRule="exact"/>
        <w:ind w:firstLine="1325" w:firstLineChars="300"/>
        <w:rPr>
          <w:rFonts w:ascii="Times New Roman" w:hAnsi="Times New Roman" w:eastAsia="宋体"/>
          <w:bCs/>
          <w:kern w:val="44"/>
          <w:sz w:val="44"/>
          <w:szCs w:val="44"/>
          <w:u w:val="single"/>
        </w:rPr>
      </w:pPr>
      <w:r>
        <w:rPr>
          <w:rFonts w:hint="eastAsia" w:ascii="Times New Roman" w:hAnsi="Times New Roman" w:eastAsia="宋体"/>
          <w:bCs/>
          <w:kern w:val="44"/>
          <w:sz w:val="44"/>
          <w:szCs w:val="44"/>
          <w:u w:val="single"/>
        </w:rPr>
        <w:t xml:space="preserve">         （项目名称）         </w:t>
      </w:r>
    </w:p>
    <w:p w14:paraId="1D9013D1">
      <w:pPr>
        <w:pStyle w:val="103"/>
        <w:spacing w:line="440" w:lineRule="exact"/>
        <w:jc w:val="center"/>
        <w:rPr>
          <w:b w:val="0"/>
        </w:rPr>
      </w:pPr>
    </w:p>
    <w:p w14:paraId="40A446EA">
      <w:pPr>
        <w:pStyle w:val="103"/>
        <w:spacing w:line="440" w:lineRule="exact"/>
        <w:jc w:val="center"/>
        <w:rPr>
          <w:b w:val="0"/>
        </w:rPr>
      </w:pPr>
      <w:r>
        <w:rPr>
          <w:rFonts w:hint="eastAsia"/>
          <w:b w:val="0"/>
        </w:rPr>
        <w:t xml:space="preserve"> </w:t>
      </w:r>
    </w:p>
    <w:p w14:paraId="0AF14561">
      <w:pPr>
        <w:pStyle w:val="103"/>
        <w:spacing w:line="440" w:lineRule="exact"/>
        <w:jc w:val="center"/>
        <w:rPr>
          <w:b w:val="0"/>
        </w:rPr>
      </w:pPr>
    </w:p>
    <w:p w14:paraId="7DB4C9EB">
      <w:pPr>
        <w:ind w:right="105" w:rightChars="50"/>
        <w:jc w:val="center"/>
        <w:rPr>
          <w:rFonts w:ascii="宋体" w:hAnsi="宋体"/>
          <w:sz w:val="72"/>
          <w:szCs w:val="72"/>
        </w:rPr>
      </w:pPr>
      <w:r>
        <w:rPr>
          <w:rFonts w:hint="eastAsia" w:ascii="宋体" w:hAnsi="宋体"/>
          <w:sz w:val="72"/>
          <w:szCs w:val="72"/>
        </w:rPr>
        <w:t>响应文件</w:t>
      </w:r>
    </w:p>
    <w:p w14:paraId="26B716F4">
      <w:pPr>
        <w:pStyle w:val="103"/>
        <w:spacing w:line="440" w:lineRule="exact"/>
        <w:jc w:val="center"/>
        <w:rPr>
          <w:b w:val="0"/>
        </w:rPr>
      </w:pPr>
    </w:p>
    <w:p w14:paraId="3A567A9D">
      <w:pPr>
        <w:pStyle w:val="103"/>
        <w:spacing w:line="440" w:lineRule="exact"/>
        <w:jc w:val="center"/>
        <w:rPr>
          <w:b w:val="0"/>
        </w:rPr>
      </w:pPr>
    </w:p>
    <w:p w14:paraId="5D220B71">
      <w:pPr>
        <w:pStyle w:val="103"/>
        <w:spacing w:line="440" w:lineRule="exact"/>
        <w:jc w:val="center"/>
        <w:rPr>
          <w:b w:val="0"/>
        </w:rPr>
      </w:pPr>
    </w:p>
    <w:p w14:paraId="1E1932BA">
      <w:pPr>
        <w:pStyle w:val="103"/>
        <w:spacing w:line="440" w:lineRule="exact"/>
        <w:jc w:val="center"/>
        <w:rPr>
          <w:b w:val="0"/>
        </w:rPr>
      </w:pPr>
    </w:p>
    <w:p w14:paraId="3765BE70">
      <w:pPr>
        <w:pStyle w:val="103"/>
        <w:spacing w:line="440" w:lineRule="exact"/>
        <w:jc w:val="center"/>
        <w:rPr>
          <w:b w:val="0"/>
        </w:rPr>
      </w:pPr>
    </w:p>
    <w:p w14:paraId="57141435">
      <w:pPr>
        <w:pStyle w:val="103"/>
        <w:spacing w:line="440" w:lineRule="exact"/>
        <w:jc w:val="center"/>
        <w:rPr>
          <w:b w:val="0"/>
        </w:rPr>
      </w:pPr>
    </w:p>
    <w:p w14:paraId="0F0F3D1D">
      <w:pPr>
        <w:pStyle w:val="103"/>
        <w:spacing w:line="440" w:lineRule="exact"/>
        <w:jc w:val="center"/>
        <w:rPr>
          <w:b w:val="0"/>
        </w:rPr>
      </w:pPr>
    </w:p>
    <w:p w14:paraId="1D2B5AA3">
      <w:pPr>
        <w:pStyle w:val="103"/>
        <w:spacing w:line="440" w:lineRule="exact"/>
        <w:jc w:val="center"/>
        <w:rPr>
          <w:b w:val="0"/>
        </w:rPr>
      </w:pPr>
    </w:p>
    <w:p w14:paraId="04B80135">
      <w:pPr>
        <w:pStyle w:val="103"/>
        <w:spacing w:line="440" w:lineRule="exact"/>
        <w:jc w:val="center"/>
        <w:rPr>
          <w:b w:val="0"/>
        </w:rPr>
      </w:pPr>
    </w:p>
    <w:p w14:paraId="7ED8A542">
      <w:pPr>
        <w:pStyle w:val="103"/>
        <w:spacing w:line="440" w:lineRule="exact"/>
        <w:jc w:val="center"/>
        <w:rPr>
          <w:b w:val="0"/>
        </w:rPr>
      </w:pPr>
    </w:p>
    <w:p w14:paraId="3B4F8156">
      <w:pPr>
        <w:pStyle w:val="103"/>
        <w:spacing w:line="440" w:lineRule="exact"/>
        <w:jc w:val="center"/>
        <w:rPr>
          <w:b w:val="0"/>
        </w:rPr>
      </w:pPr>
    </w:p>
    <w:p w14:paraId="75478B91">
      <w:pPr>
        <w:pStyle w:val="103"/>
        <w:spacing w:line="900" w:lineRule="exact"/>
        <w:ind w:firstLine="960" w:firstLineChars="300"/>
        <w:rPr>
          <w:b w:val="0"/>
        </w:rPr>
      </w:pPr>
      <w:r>
        <w:rPr>
          <w:rFonts w:hint="eastAsia"/>
          <w:b w:val="0"/>
        </w:rPr>
        <w:t>单位名称：</w:t>
      </w:r>
      <w:r>
        <w:rPr>
          <w:rFonts w:hint="eastAsia"/>
          <w:b w:val="0"/>
          <w:u w:val="single"/>
        </w:rPr>
        <w:t xml:space="preserve">                         </w:t>
      </w:r>
      <w:r>
        <w:rPr>
          <w:rFonts w:hint="eastAsia"/>
          <w:b w:val="0"/>
        </w:rPr>
        <w:t>（盖章）</w:t>
      </w:r>
    </w:p>
    <w:p w14:paraId="1052AE12">
      <w:pPr>
        <w:pStyle w:val="103"/>
        <w:spacing w:line="900" w:lineRule="exact"/>
        <w:ind w:firstLine="960" w:firstLineChars="300"/>
        <w:rPr>
          <w:b w:val="0"/>
          <w:u w:val="single"/>
        </w:rPr>
      </w:pPr>
      <w:r>
        <w:rPr>
          <w:rFonts w:hint="eastAsia"/>
          <w:b w:val="0"/>
        </w:rPr>
        <w:t>法定代表人（或授权代表）：</w:t>
      </w:r>
      <w:r>
        <w:rPr>
          <w:rFonts w:hint="eastAsia"/>
          <w:b w:val="0"/>
          <w:u w:val="single"/>
        </w:rPr>
        <w:t xml:space="preserve">         </w:t>
      </w:r>
      <w:r>
        <w:rPr>
          <w:rFonts w:hint="eastAsia"/>
          <w:b w:val="0"/>
        </w:rPr>
        <w:t>（签字）</w:t>
      </w:r>
    </w:p>
    <w:p w14:paraId="12B18180">
      <w:pPr>
        <w:pStyle w:val="103"/>
        <w:spacing w:line="900" w:lineRule="exact"/>
        <w:ind w:firstLine="960" w:firstLineChars="300"/>
        <w:rPr>
          <w:b w:val="0"/>
        </w:rPr>
      </w:pPr>
      <w:r>
        <w:rPr>
          <w:rFonts w:hint="eastAsia"/>
          <w:b w:val="0"/>
        </w:rPr>
        <w:t>日期：</w:t>
      </w:r>
      <w:r>
        <w:rPr>
          <w:rFonts w:hint="eastAsia"/>
          <w:b w:val="0"/>
          <w:u w:val="single"/>
        </w:rPr>
        <w:t xml:space="preserve">        </w:t>
      </w:r>
      <w:r>
        <w:rPr>
          <w:rFonts w:hint="eastAsia"/>
          <w:b w:val="0"/>
        </w:rPr>
        <w:t>年</w:t>
      </w:r>
      <w:r>
        <w:rPr>
          <w:rFonts w:hint="eastAsia"/>
          <w:b w:val="0"/>
          <w:u w:val="single"/>
        </w:rPr>
        <w:t xml:space="preserve">        </w:t>
      </w:r>
      <w:r>
        <w:rPr>
          <w:rFonts w:hint="eastAsia"/>
          <w:b w:val="0"/>
        </w:rPr>
        <w:t>月</w:t>
      </w:r>
      <w:r>
        <w:rPr>
          <w:rFonts w:hint="eastAsia"/>
          <w:b w:val="0"/>
          <w:u w:val="single"/>
        </w:rPr>
        <w:t xml:space="preserve">       </w:t>
      </w:r>
      <w:r>
        <w:rPr>
          <w:rFonts w:hint="eastAsia"/>
          <w:b w:val="0"/>
        </w:rPr>
        <w:t>日</w:t>
      </w:r>
    </w:p>
    <w:p w14:paraId="08F6AAA9">
      <w:pPr>
        <w:spacing w:before="478" w:line="329" w:lineRule="exact"/>
        <w:rPr>
          <w:rFonts w:ascii="方正小标宋_GBK" w:hAnsi="黑体" w:eastAsia="方正小标宋_GBK" w:cs="黑体"/>
          <w:color w:val="000000"/>
          <w:spacing w:val="2"/>
          <w:sz w:val="32"/>
          <w:szCs w:val="32"/>
        </w:rPr>
      </w:pPr>
    </w:p>
    <w:p w14:paraId="6294EB7C">
      <w:pPr>
        <w:spacing w:before="478" w:line="329" w:lineRule="exact"/>
        <w:rPr>
          <w:rFonts w:ascii="方正小标宋_GBK" w:hAnsi="黑体" w:eastAsia="方正小标宋_GBK" w:cs="黑体"/>
          <w:color w:val="000000"/>
          <w:spacing w:val="2"/>
          <w:sz w:val="32"/>
          <w:szCs w:val="32"/>
        </w:rPr>
      </w:pPr>
    </w:p>
    <w:p w14:paraId="6F72EA14">
      <w:pPr>
        <w:spacing w:before="478" w:line="329" w:lineRule="exact"/>
        <w:ind w:left="4100"/>
        <w:outlineLvl w:val="0"/>
        <w:rPr>
          <w:rFonts w:ascii="方正小标宋_GBK" w:hAnsi="黑体" w:eastAsia="方正小标宋_GBK" w:cs="黑体"/>
          <w:color w:val="000000"/>
          <w:spacing w:val="2"/>
          <w:sz w:val="32"/>
          <w:szCs w:val="32"/>
        </w:rPr>
      </w:pPr>
      <w:bookmarkStart w:id="27" w:name="_Toc30231"/>
      <w:bookmarkStart w:id="28" w:name="_Toc11222"/>
      <w:r>
        <w:rPr>
          <w:rFonts w:hint="eastAsia" w:ascii="方正小标宋_GBK" w:hAnsi="黑体" w:eastAsia="方正小标宋_GBK" w:cs="黑体"/>
          <w:color w:val="000000"/>
          <w:spacing w:val="2"/>
          <w:sz w:val="32"/>
          <w:szCs w:val="32"/>
        </w:rPr>
        <w:t>目录</w:t>
      </w:r>
      <w:bookmarkEnd w:id="27"/>
      <w:bookmarkEnd w:id="28"/>
    </w:p>
    <w:p w14:paraId="121CB3DA">
      <w:pPr>
        <w:spacing w:line="480" w:lineRule="exact"/>
        <w:rPr>
          <w:rFonts w:ascii="黑体" w:hAnsi="黑体" w:eastAsia="黑体"/>
          <w:sz w:val="24"/>
        </w:rPr>
      </w:pPr>
    </w:p>
    <w:p w14:paraId="1C6E5BD4">
      <w:pPr>
        <w:spacing w:line="480" w:lineRule="exact"/>
        <w:rPr>
          <w:rFonts w:ascii="黑体" w:hAnsi="黑体" w:eastAsia="黑体"/>
          <w:color w:val="000000"/>
          <w:sz w:val="24"/>
        </w:rPr>
      </w:pPr>
      <w:r>
        <w:rPr>
          <w:rFonts w:ascii="黑体" w:hAnsi="黑体" w:eastAsia="黑体"/>
          <w:color w:val="000000"/>
          <w:sz w:val="24"/>
        </w:rPr>
        <w:t>一、</w:t>
      </w:r>
      <w:r>
        <w:rPr>
          <w:rFonts w:hint="eastAsia" w:ascii="黑体" w:hAnsi="黑体" w:eastAsia="黑体"/>
          <w:color w:val="000000"/>
          <w:sz w:val="24"/>
        </w:rPr>
        <w:t>响应函</w:t>
      </w:r>
    </w:p>
    <w:p w14:paraId="1B59788E">
      <w:pPr>
        <w:spacing w:line="480" w:lineRule="exact"/>
        <w:rPr>
          <w:rFonts w:ascii="黑体" w:hAnsi="黑体" w:eastAsia="黑体"/>
          <w:color w:val="000000"/>
          <w:sz w:val="24"/>
        </w:rPr>
      </w:pPr>
      <w:r>
        <w:rPr>
          <w:rFonts w:ascii="黑体" w:hAnsi="黑体" w:eastAsia="黑体"/>
          <w:color w:val="000000"/>
          <w:sz w:val="24"/>
        </w:rPr>
        <w:t>二、法定代表人身份证明或授权委托书</w:t>
      </w:r>
    </w:p>
    <w:p w14:paraId="27B0AE45">
      <w:pPr>
        <w:spacing w:line="480" w:lineRule="exact"/>
        <w:rPr>
          <w:rFonts w:hint="eastAsia" w:ascii="黑体" w:hAnsi="黑体" w:eastAsia="黑体"/>
          <w:color w:val="000000"/>
          <w:sz w:val="24"/>
        </w:rPr>
      </w:pPr>
      <w:r>
        <w:rPr>
          <w:rFonts w:hint="eastAsia" w:ascii="黑体" w:hAnsi="黑体" w:eastAsia="黑体"/>
          <w:color w:val="000000"/>
          <w:sz w:val="24"/>
        </w:rPr>
        <w:t>三</w:t>
      </w:r>
      <w:r>
        <w:rPr>
          <w:rFonts w:ascii="黑体" w:hAnsi="黑体" w:eastAsia="黑体"/>
          <w:color w:val="000000"/>
          <w:sz w:val="24"/>
        </w:rPr>
        <w:t>、营业执照副本和税务登记证复印件（或“三证合一”的营业执照或事业单位法人证书复印件）</w:t>
      </w:r>
      <w:r>
        <w:rPr>
          <w:rFonts w:hint="eastAsia" w:ascii="黑体" w:hAnsi="黑体" w:eastAsia="黑体"/>
          <w:color w:val="000000"/>
          <w:sz w:val="24"/>
        </w:rPr>
        <w:t>；</w:t>
      </w:r>
    </w:p>
    <w:p w14:paraId="3210885E">
      <w:pPr>
        <w:spacing w:line="480" w:lineRule="exact"/>
        <w:rPr>
          <w:rFonts w:hint="eastAsia" w:ascii="黑体" w:hAnsi="黑体" w:eastAsia="黑体"/>
          <w:color w:val="000000"/>
          <w:sz w:val="24"/>
        </w:rPr>
      </w:pPr>
      <w:r>
        <w:rPr>
          <w:rFonts w:hint="eastAsia" w:ascii="黑体" w:hAnsi="黑体" w:eastAsia="黑体"/>
          <w:color w:val="000000"/>
          <w:sz w:val="24"/>
        </w:rPr>
        <w:t>四</w:t>
      </w:r>
      <w:r>
        <w:rPr>
          <w:rFonts w:ascii="黑体" w:hAnsi="黑体" w:eastAsia="黑体"/>
          <w:color w:val="000000"/>
          <w:sz w:val="24"/>
        </w:rPr>
        <w:t>、无重大违法行为声明</w:t>
      </w:r>
    </w:p>
    <w:p w14:paraId="3618EBC5">
      <w:pPr>
        <w:spacing w:line="480" w:lineRule="exact"/>
        <w:rPr>
          <w:rFonts w:ascii="黑体" w:hAnsi="黑体" w:eastAsia="黑体"/>
          <w:color w:val="000000"/>
          <w:sz w:val="24"/>
        </w:rPr>
      </w:pPr>
      <w:r>
        <w:rPr>
          <w:rFonts w:hint="eastAsia" w:ascii="黑体" w:hAnsi="黑体" w:eastAsia="黑体"/>
          <w:color w:val="000000"/>
          <w:sz w:val="24"/>
          <w:lang w:val="en-US" w:eastAsia="zh-CN"/>
        </w:rPr>
        <w:t>五</w:t>
      </w:r>
      <w:r>
        <w:rPr>
          <w:rFonts w:ascii="黑体" w:hAnsi="黑体" w:eastAsia="黑体"/>
          <w:color w:val="000000"/>
          <w:sz w:val="24"/>
        </w:rPr>
        <w:t>、报价一览表</w:t>
      </w:r>
    </w:p>
    <w:p w14:paraId="2FA04ED8">
      <w:pPr>
        <w:spacing w:line="480" w:lineRule="exact"/>
        <w:rPr>
          <w:rFonts w:ascii="黑体" w:hAnsi="黑体" w:eastAsia="黑体"/>
          <w:color w:val="000000"/>
          <w:sz w:val="24"/>
        </w:rPr>
      </w:pPr>
      <w:r>
        <w:rPr>
          <w:rFonts w:hint="eastAsia" w:ascii="黑体" w:hAnsi="黑体" w:eastAsia="黑体"/>
          <w:color w:val="000000"/>
          <w:sz w:val="24"/>
          <w:lang w:val="en-US" w:eastAsia="zh-CN"/>
        </w:rPr>
        <w:t>六</w:t>
      </w:r>
      <w:r>
        <w:rPr>
          <w:rFonts w:hint="eastAsia" w:ascii="黑体" w:hAnsi="黑体" w:eastAsia="黑体"/>
          <w:color w:val="000000"/>
          <w:sz w:val="24"/>
        </w:rPr>
        <w:t>、项目业绩一览表</w:t>
      </w:r>
    </w:p>
    <w:p w14:paraId="054C6119">
      <w:pPr>
        <w:spacing w:line="480" w:lineRule="exact"/>
        <w:rPr>
          <w:rFonts w:ascii="黑体" w:hAnsi="黑体" w:eastAsia="黑体"/>
          <w:color w:val="000000"/>
          <w:sz w:val="24"/>
        </w:rPr>
      </w:pPr>
      <w:r>
        <w:rPr>
          <w:rFonts w:hint="eastAsia" w:ascii="黑体" w:hAnsi="黑体" w:eastAsia="黑体"/>
          <w:color w:val="000000"/>
          <w:sz w:val="24"/>
          <w:lang w:val="en-US" w:eastAsia="zh-CN"/>
        </w:rPr>
        <w:t>七</w:t>
      </w:r>
      <w:r>
        <w:rPr>
          <w:rFonts w:hint="eastAsia" w:ascii="黑体" w:hAnsi="黑体" w:eastAsia="黑体"/>
          <w:color w:val="000000"/>
          <w:sz w:val="24"/>
        </w:rPr>
        <w:t>、项目人员配置表及资质材料</w:t>
      </w:r>
    </w:p>
    <w:p w14:paraId="159569FD">
      <w:pPr>
        <w:spacing w:line="480" w:lineRule="exact"/>
        <w:rPr>
          <w:rFonts w:hint="eastAsia" w:ascii="黑体" w:hAnsi="黑体" w:eastAsia="黑体"/>
          <w:color w:val="000000"/>
          <w:sz w:val="24"/>
        </w:rPr>
      </w:pPr>
      <w:r>
        <w:rPr>
          <w:rFonts w:hint="eastAsia" w:ascii="黑体" w:hAnsi="黑体" w:eastAsia="黑体"/>
          <w:color w:val="000000"/>
          <w:sz w:val="24"/>
          <w:lang w:val="en-US" w:eastAsia="zh-CN"/>
        </w:rPr>
        <w:t>八</w:t>
      </w:r>
      <w:r>
        <w:rPr>
          <w:rFonts w:hint="eastAsia" w:ascii="黑体" w:hAnsi="黑体" w:eastAsia="黑体"/>
          <w:color w:val="000000"/>
          <w:sz w:val="24"/>
        </w:rPr>
        <w:t>、项目服务方案（根据评分标准内容要求，格式自拟）</w:t>
      </w:r>
    </w:p>
    <w:p w14:paraId="1B2141DB">
      <w:pPr>
        <w:spacing w:line="480" w:lineRule="exact"/>
        <w:rPr>
          <w:rFonts w:ascii="黑体" w:hAnsi="黑体" w:eastAsia="黑体"/>
          <w:color w:val="000000"/>
          <w:sz w:val="24"/>
        </w:rPr>
      </w:pPr>
      <w:r>
        <w:rPr>
          <w:rFonts w:hint="eastAsia" w:ascii="黑体" w:hAnsi="黑体" w:eastAsia="黑体"/>
          <w:color w:val="000000"/>
          <w:sz w:val="24"/>
          <w:lang w:val="en-US" w:eastAsia="zh-CN"/>
        </w:rPr>
        <w:t>九</w:t>
      </w:r>
      <w:r>
        <w:rPr>
          <w:rFonts w:hint="eastAsia" w:ascii="黑体" w:hAnsi="黑体" w:eastAsia="黑体"/>
          <w:color w:val="000000"/>
          <w:sz w:val="24"/>
        </w:rPr>
        <w:t>、服务承诺（根据评分标准内容要求，格式自拟）</w:t>
      </w:r>
    </w:p>
    <w:p w14:paraId="59148DAD">
      <w:pPr>
        <w:spacing w:line="480" w:lineRule="exact"/>
        <w:rPr>
          <w:rFonts w:ascii="黑体" w:hAnsi="黑体" w:eastAsia="黑体"/>
          <w:color w:val="000000"/>
          <w:sz w:val="24"/>
        </w:rPr>
      </w:pPr>
      <w:r>
        <w:rPr>
          <w:rFonts w:hint="eastAsia" w:ascii="黑体" w:hAnsi="黑体" w:eastAsia="黑体"/>
          <w:color w:val="000000"/>
          <w:sz w:val="24"/>
        </w:rPr>
        <w:t>十、响应人认为有必要提供的其他材料</w:t>
      </w:r>
    </w:p>
    <w:p w14:paraId="6665433F">
      <w:pPr>
        <w:spacing w:line="480" w:lineRule="exact"/>
        <w:rPr>
          <w:rFonts w:hint="eastAsia" w:ascii="黑体" w:hAnsi="黑体" w:eastAsia="黑体"/>
          <w:sz w:val="24"/>
        </w:rPr>
      </w:pPr>
    </w:p>
    <w:p w14:paraId="564906A6">
      <w:pPr>
        <w:spacing w:line="480" w:lineRule="exact"/>
        <w:rPr>
          <w:rFonts w:hint="eastAsia" w:ascii="黑体" w:hAnsi="黑体" w:eastAsia="黑体"/>
          <w:sz w:val="24"/>
        </w:rPr>
      </w:pPr>
    </w:p>
    <w:p w14:paraId="06433E14">
      <w:pPr>
        <w:spacing w:line="480" w:lineRule="exact"/>
        <w:rPr>
          <w:rFonts w:hint="eastAsia" w:ascii="黑体" w:hAnsi="黑体" w:eastAsia="黑体"/>
          <w:sz w:val="24"/>
        </w:rPr>
      </w:pPr>
    </w:p>
    <w:p w14:paraId="432EC4B3">
      <w:pPr>
        <w:spacing w:line="480" w:lineRule="exact"/>
        <w:rPr>
          <w:rFonts w:hint="eastAsia" w:ascii="黑体" w:hAnsi="黑体" w:eastAsia="黑体"/>
          <w:sz w:val="24"/>
        </w:rPr>
      </w:pPr>
    </w:p>
    <w:p w14:paraId="4BE912A7">
      <w:pPr>
        <w:spacing w:line="480" w:lineRule="exact"/>
        <w:rPr>
          <w:rFonts w:hint="eastAsia" w:ascii="黑体" w:hAnsi="黑体" w:eastAsia="黑体"/>
          <w:sz w:val="24"/>
        </w:rPr>
      </w:pPr>
    </w:p>
    <w:p w14:paraId="2F160266">
      <w:pPr>
        <w:spacing w:line="480" w:lineRule="exact"/>
        <w:rPr>
          <w:rFonts w:hint="eastAsia" w:ascii="黑体" w:hAnsi="黑体" w:eastAsia="黑体"/>
          <w:sz w:val="24"/>
        </w:rPr>
      </w:pPr>
    </w:p>
    <w:p w14:paraId="0FF66AD2">
      <w:pPr>
        <w:spacing w:line="480" w:lineRule="exact"/>
        <w:rPr>
          <w:rFonts w:hint="eastAsia" w:ascii="黑体" w:hAnsi="黑体" w:eastAsia="黑体"/>
          <w:sz w:val="24"/>
        </w:rPr>
      </w:pPr>
    </w:p>
    <w:p w14:paraId="32391D57">
      <w:pPr>
        <w:spacing w:line="480" w:lineRule="exact"/>
        <w:rPr>
          <w:rFonts w:hint="eastAsia" w:ascii="黑体" w:hAnsi="黑体" w:eastAsia="黑体"/>
          <w:sz w:val="24"/>
        </w:rPr>
      </w:pPr>
    </w:p>
    <w:p w14:paraId="63DBDEA1">
      <w:pPr>
        <w:spacing w:line="480" w:lineRule="exact"/>
        <w:rPr>
          <w:rFonts w:hint="eastAsia" w:ascii="黑体" w:hAnsi="黑体" w:eastAsia="黑体"/>
          <w:sz w:val="24"/>
        </w:rPr>
      </w:pPr>
    </w:p>
    <w:p w14:paraId="33CB0A4E">
      <w:pPr>
        <w:spacing w:line="480" w:lineRule="exact"/>
        <w:rPr>
          <w:rFonts w:hint="eastAsia" w:ascii="黑体" w:hAnsi="黑体" w:eastAsia="黑体"/>
          <w:sz w:val="24"/>
        </w:rPr>
      </w:pPr>
    </w:p>
    <w:p w14:paraId="1D8A82CF">
      <w:pPr>
        <w:spacing w:line="480" w:lineRule="exact"/>
        <w:rPr>
          <w:rFonts w:hint="eastAsia" w:ascii="黑体" w:hAnsi="黑体" w:eastAsia="黑体"/>
          <w:sz w:val="24"/>
        </w:rPr>
      </w:pPr>
    </w:p>
    <w:p w14:paraId="12E0D9D5">
      <w:pPr>
        <w:spacing w:line="480" w:lineRule="exact"/>
        <w:rPr>
          <w:rFonts w:hint="eastAsia" w:ascii="黑体" w:hAnsi="黑体" w:eastAsia="黑体"/>
          <w:sz w:val="24"/>
        </w:rPr>
      </w:pPr>
    </w:p>
    <w:p w14:paraId="500B76C0">
      <w:pPr>
        <w:pStyle w:val="39"/>
        <w:rPr>
          <w:rFonts w:hint="eastAsia" w:ascii="黑体" w:hAnsi="黑体" w:eastAsia="黑体"/>
          <w:sz w:val="24"/>
        </w:rPr>
      </w:pPr>
    </w:p>
    <w:p w14:paraId="2238CCB1">
      <w:pPr>
        <w:pStyle w:val="39"/>
        <w:rPr>
          <w:rFonts w:hint="eastAsia" w:ascii="黑体" w:hAnsi="黑体" w:eastAsia="黑体"/>
          <w:sz w:val="24"/>
        </w:rPr>
      </w:pPr>
    </w:p>
    <w:p w14:paraId="751AF79A">
      <w:pPr>
        <w:pStyle w:val="39"/>
        <w:rPr>
          <w:rFonts w:hint="eastAsia" w:ascii="黑体" w:hAnsi="黑体" w:eastAsia="黑体"/>
          <w:sz w:val="24"/>
        </w:rPr>
      </w:pPr>
    </w:p>
    <w:p w14:paraId="64DC066E">
      <w:pPr>
        <w:pStyle w:val="39"/>
        <w:rPr>
          <w:rFonts w:hint="eastAsia" w:ascii="黑体" w:hAnsi="黑体" w:eastAsia="黑体"/>
          <w:sz w:val="24"/>
        </w:rPr>
      </w:pPr>
    </w:p>
    <w:p w14:paraId="1770450F">
      <w:pPr>
        <w:pStyle w:val="39"/>
        <w:rPr>
          <w:rFonts w:hint="eastAsia" w:ascii="黑体" w:hAnsi="黑体" w:eastAsia="黑体"/>
          <w:sz w:val="24"/>
        </w:rPr>
      </w:pPr>
    </w:p>
    <w:p w14:paraId="79C192CC">
      <w:pPr>
        <w:pStyle w:val="39"/>
        <w:rPr>
          <w:rFonts w:hint="eastAsia" w:ascii="黑体" w:hAnsi="黑体" w:eastAsia="黑体"/>
          <w:sz w:val="24"/>
        </w:rPr>
      </w:pPr>
    </w:p>
    <w:p w14:paraId="6EF4112D"/>
    <w:p w14:paraId="12A93921">
      <w:pPr>
        <w:spacing w:line="440" w:lineRule="exact"/>
        <w:jc w:val="left"/>
        <w:outlineLvl w:val="0"/>
        <w:rPr>
          <w:rFonts w:ascii="宋体" w:hAnsi="宋体"/>
          <w:b/>
          <w:color w:val="000000"/>
          <w:sz w:val="28"/>
          <w:szCs w:val="28"/>
        </w:rPr>
      </w:pPr>
      <w:bookmarkStart w:id="29" w:name="_Toc20176"/>
      <w:bookmarkStart w:id="30" w:name="_Toc24747"/>
      <w:r>
        <w:rPr>
          <w:rFonts w:hint="eastAsia" w:ascii="宋体" w:hAnsi="宋体"/>
          <w:b/>
          <w:sz w:val="28"/>
          <w:szCs w:val="28"/>
        </w:rPr>
        <w:t>一、响应</w:t>
      </w:r>
      <w:r>
        <w:rPr>
          <w:rFonts w:ascii="宋体" w:hAnsi="宋体"/>
          <w:b/>
          <w:sz w:val="28"/>
          <w:szCs w:val="28"/>
        </w:rPr>
        <w:t>函</w:t>
      </w:r>
      <w:bookmarkEnd w:id="29"/>
      <w:bookmarkEnd w:id="30"/>
      <w:r>
        <w:rPr>
          <w:rFonts w:hint="eastAsia" w:ascii="宋体" w:hAnsi="宋体"/>
          <w:b/>
          <w:sz w:val="28"/>
          <w:szCs w:val="28"/>
        </w:rPr>
        <w:t xml:space="preserve">  </w:t>
      </w:r>
      <w:r>
        <w:rPr>
          <w:rFonts w:hint="eastAsia" w:ascii="宋体" w:hAnsi="宋体"/>
          <w:b/>
          <w:color w:val="000000"/>
          <w:sz w:val="28"/>
          <w:szCs w:val="28"/>
        </w:rPr>
        <w:t xml:space="preserve">          </w:t>
      </w:r>
    </w:p>
    <w:p w14:paraId="4E77C32E">
      <w:pPr>
        <w:spacing w:line="440" w:lineRule="exact"/>
        <w:jc w:val="center"/>
        <w:rPr>
          <w:rFonts w:ascii="宋体" w:hAnsi="宋体"/>
          <w:b/>
          <w:sz w:val="32"/>
          <w:szCs w:val="32"/>
        </w:rPr>
      </w:pPr>
      <w:r>
        <w:rPr>
          <w:rFonts w:hint="eastAsia" w:ascii="宋体" w:hAnsi="宋体"/>
          <w:b/>
          <w:sz w:val="32"/>
          <w:szCs w:val="32"/>
        </w:rPr>
        <w:t>响应</w:t>
      </w:r>
      <w:r>
        <w:rPr>
          <w:rFonts w:ascii="宋体" w:hAnsi="宋体"/>
          <w:b/>
          <w:sz w:val="32"/>
          <w:szCs w:val="32"/>
        </w:rPr>
        <w:t xml:space="preserve">函 </w:t>
      </w:r>
    </w:p>
    <w:p w14:paraId="353386AB">
      <w:pPr>
        <w:spacing w:line="440" w:lineRule="exact"/>
        <w:rPr>
          <w:rFonts w:ascii="宋体" w:hAnsi="宋体"/>
          <w:color w:val="000000"/>
          <w:sz w:val="24"/>
        </w:rPr>
      </w:pPr>
      <w:r>
        <w:rPr>
          <w:rFonts w:hint="eastAsia" w:ascii="宋体" w:hAnsi="宋体"/>
          <w:color w:val="000000"/>
          <w:sz w:val="24"/>
          <w:lang w:eastAsia="zh-CN"/>
        </w:rPr>
        <w:t>扬州市第三人民医院</w:t>
      </w:r>
      <w:r>
        <w:rPr>
          <w:rFonts w:ascii="宋体" w:hAnsi="宋体"/>
          <w:color w:val="000000"/>
          <w:sz w:val="24"/>
        </w:rPr>
        <w:t>：</w:t>
      </w:r>
    </w:p>
    <w:p w14:paraId="0A16D07D">
      <w:pPr>
        <w:tabs>
          <w:tab w:val="left" w:pos="1498"/>
        </w:tabs>
        <w:spacing w:line="440" w:lineRule="exact"/>
        <w:ind w:firstLine="480" w:firstLineChars="200"/>
        <w:rPr>
          <w:rFonts w:ascii="宋体" w:hAnsi="宋体"/>
          <w:color w:val="000000"/>
          <w:sz w:val="24"/>
        </w:rPr>
      </w:pPr>
      <w:r>
        <w:rPr>
          <w:rFonts w:ascii="宋体" w:hAnsi="宋体"/>
          <w:color w:val="000000"/>
          <w:sz w:val="24"/>
        </w:rPr>
        <w:t>经研究，我们决定参</w:t>
      </w:r>
      <w:r>
        <w:rPr>
          <w:rFonts w:ascii="宋体" w:hAnsi="宋体"/>
          <w:sz w:val="24"/>
        </w:rPr>
        <w:t>加</w:t>
      </w:r>
      <w:r>
        <w:rPr>
          <w:rFonts w:hint="eastAsia" w:ascii="宋体" w:hAnsi="宋体"/>
          <w:sz w:val="24"/>
          <w:lang w:eastAsia="zh-CN"/>
        </w:rPr>
        <w:t>扬州市第三人民医院</w:t>
      </w:r>
      <w:r>
        <w:rPr>
          <w:rFonts w:ascii="宋体" w:hAnsi="宋体"/>
          <w:sz w:val="24"/>
          <w:u w:val="single"/>
        </w:rPr>
        <w:t xml:space="preserve">                   </w:t>
      </w:r>
      <w:r>
        <w:rPr>
          <w:rFonts w:hint="eastAsia" w:ascii="宋体" w:hAnsi="宋体"/>
          <w:sz w:val="24"/>
        </w:rPr>
        <w:t>招标</w:t>
      </w:r>
      <w:r>
        <w:rPr>
          <w:rFonts w:ascii="宋体" w:hAnsi="宋体"/>
          <w:sz w:val="24"/>
        </w:rPr>
        <w:t>活动，为此，我方郑重声明以下诸点，</w:t>
      </w:r>
      <w:r>
        <w:rPr>
          <w:rFonts w:ascii="宋体" w:hAnsi="宋体"/>
          <w:color w:val="000000"/>
          <w:sz w:val="24"/>
        </w:rPr>
        <w:t>并负法律责任。</w:t>
      </w:r>
    </w:p>
    <w:p w14:paraId="0899EBED">
      <w:pPr>
        <w:tabs>
          <w:tab w:val="left" w:pos="1498"/>
        </w:tabs>
        <w:spacing w:line="440" w:lineRule="exact"/>
        <w:ind w:firstLine="480" w:firstLineChars="200"/>
        <w:rPr>
          <w:rFonts w:ascii="宋体" w:hAnsi="宋体"/>
          <w:color w:val="000000"/>
          <w:sz w:val="24"/>
        </w:rPr>
      </w:pPr>
      <w:r>
        <w:rPr>
          <w:rFonts w:ascii="宋体" w:hAnsi="宋体"/>
          <w:color w:val="000000"/>
          <w:sz w:val="24"/>
        </w:rPr>
        <w:t>一、我们已详细审核全部代理招标文件及其有效补充文件，我们放弃对代理招标文件任何误解的权利，提交代理招标响应文件后，不对代理招标文件本身提出质疑；</w:t>
      </w:r>
    </w:p>
    <w:p w14:paraId="24430D63">
      <w:pPr>
        <w:tabs>
          <w:tab w:val="left" w:pos="1498"/>
        </w:tabs>
        <w:spacing w:line="440" w:lineRule="exact"/>
        <w:ind w:firstLine="480" w:firstLineChars="200"/>
        <w:rPr>
          <w:rFonts w:ascii="宋体" w:hAnsi="宋体"/>
          <w:color w:val="000000"/>
          <w:sz w:val="24"/>
        </w:rPr>
      </w:pPr>
      <w:r>
        <w:rPr>
          <w:rFonts w:ascii="宋体" w:hAnsi="宋体"/>
          <w:color w:val="000000"/>
          <w:sz w:val="24"/>
        </w:rPr>
        <w:t>二、我方按要求提交响应文件；</w:t>
      </w:r>
    </w:p>
    <w:p w14:paraId="110BC485">
      <w:pPr>
        <w:pStyle w:val="137"/>
        <w:tabs>
          <w:tab w:val="left" w:pos="1498"/>
        </w:tabs>
        <w:spacing w:line="440" w:lineRule="exact"/>
        <w:ind w:firstLine="480" w:firstLineChars="200"/>
        <w:rPr>
          <w:rFonts w:ascii="仿宋_GB2312" w:eastAsia="仿宋_GB2312"/>
          <w:sz w:val="24"/>
        </w:rPr>
      </w:pPr>
      <w:r>
        <w:rPr>
          <w:rFonts w:ascii="宋体" w:hAnsi="宋体"/>
          <w:color w:val="000000"/>
          <w:sz w:val="24"/>
        </w:rPr>
        <w:t>三、</w:t>
      </w:r>
      <w:r>
        <w:rPr>
          <w:rFonts w:hint="eastAsia" w:ascii="宋体" w:hAnsi="宋体"/>
          <w:color w:val="000000"/>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sz w:val="24"/>
        </w:rPr>
        <w:t>；</w:t>
      </w:r>
    </w:p>
    <w:p w14:paraId="179B2525">
      <w:pPr>
        <w:tabs>
          <w:tab w:val="left" w:pos="1498"/>
        </w:tabs>
        <w:spacing w:line="440" w:lineRule="exact"/>
        <w:ind w:firstLine="480" w:firstLineChars="200"/>
        <w:rPr>
          <w:rFonts w:ascii="宋体" w:hAnsi="宋体"/>
          <w:color w:val="000000"/>
          <w:sz w:val="24"/>
        </w:rPr>
      </w:pPr>
      <w:r>
        <w:rPr>
          <w:rFonts w:ascii="宋体" w:hAnsi="宋体"/>
          <w:color w:val="000000"/>
          <w:sz w:val="24"/>
        </w:rPr>
        <w:t>四、我们理解，最低报价不是</w:t>
      </w:r>
      <w:r>
        <w:rPr>
          <w:rFonts w:hint="eastAsia" w:ascii="宋体" w:hAnsi="宋体"/>
          <w:color w:val="000000"/>
          <w:sz w:val="24"/>
        </w:rPr>
        <w:t>中标</w:t>
      </w:r>
      <w:r>
        <w:rPr>
          <w:rFonts w:ascii="宋体" w:hAnsi="宋体"/>
          <w:color w:val="000000"/>
          <w:sz w:val="24"/>
        </w:rPr>
        <w:t>的唯一条件，贵方有选择</w:t>
      </w:r>
      <w:r>
        <w:rPr>
          <w:rFonts w:hint="eastAsia" w:ascii="宋体" w:hAnsi="宋体"/>
          <w:color w:val="000000"/>
          <w:sz w:val="24"/>
        </w:rPr>
        <w:t>中标</w:t>
      </w:r>
      <w:r>
        <w:rPr>
          <w:rFonts w:ascii="宋体" w:hAnsi="宋体"/>
          <w:color w:val="000000"/>
          <w:sz w:val="24"/>
        </w:rPr>
        <w:t>人的权利；</w:t>
      </w:r>
    </w:p>
    <w:p w14:paraId="700AE275">
      <w:pPr>
        <w:tabs>
          <w:tab w:val="left" w:pos="1498"/>
        </w:tabs>
        <w:spacing w:line="440" w:lineRule="exact"/>
        <w:ind w:firstLine="480" w:firstLineChars="200"/>
        <w:rPr>
          <w:rFonts w:ascii="宋体" w:hAnsi="宋体"/>
          <w:color w:val="000000"/>
          <w:sz w:val="24"/>
        </w:rPr>
      </w:pPr>
      <w:r>
        <w:rPr>
          <w:rFonts w:ascii="宋体" w:hAnsi="宋体"/>
          <w:color w:val="000000"/>
          <w:sz w:val="24"/>
        </w:rPr>
        <w:t>五、我方愿按《中华人民共和国合同法》及其他有关法律、法规的规定，自觉履行自己的全部责任；</w:t>
      </w:r>
    </w:p>
    <w:p w14:paraId="55C723FC">
      <w:pPr>
        <w:tabs>
          <w:tab w:val="left" w:pos="1498"/>
        </w:tabs>
        <w:spacing w:line="440" w:lineRule="exact"/>
        <w:ind w:firstLine="480" w:firstLineChars="200"/>
        <w:rPr>
          <w:rFonts w:ascii="宋体" w:hAnsi="宋体"/>
          <w:color w:val="FF0000"/>
          <w:sz w:val="24"/>
        </w:rPr>
      </w:pPr>
      <w:r>
        <w:rPr>
          <w:rFonts w:hint="eastAsia" w:ascii="宋体" w:hAnsi="宋体"/>
          <w:color w:val="000000"/>
          <w:sz w:val="24"/>
        </w:rPr>
        <w:t>六</w:t>
      </w:r>
      <w:r>
        <w:rPr>
          <w:rFonts w:ascii="宋体" w:hAnsi="宋体"/>
          <w:color w:val="000000"/>
          <w:sz w:val="24"/>
        </w:rPr>
        <w:t>、我方</w:t>
      </w:r>
      <w:r>
        <w:rPr>
          <w:rFonts w:hint="eastAsia" w:ascii="宋体" w:hAnsi="宋体"/>
          <w:color w:val="000000"/>
          <w:sz w:val="24"/>
        </w:rPr>
        <w:t>响应</w:t>
      </w:r>
      <w:r>
        <w:rPr>
          <w:rFonts w:ascii="宋体" w:hAnsi="宋体"/>
          <w:color w:val="000000"/>
          <w:sz w:val="24"/>
        </w:rPr>
        <w:t>代理招标文件规定的响应有效期。</w:t>
      </w:r>
    </w:p>
    <w:p w14:paraId="348D0BB2">
      <w:pPr>
        <w:spacing w:line="440" w:lineRule="exact"/>
        <w:rPr>
          <w:rFonts w:ascii="宋体" w:hAnsi="宋体"/>
          <w:color w:val="000000"/>
          <w:sz w:val="24"/>
        </w:rPr>
      </w:pPr>
    </w:p>
    <w:p w14:paraId="65357047">
      <w:pPr>
        <w:spacing w:line="440" w:lineRule="exact"/>
        <w:rPr>
          <w:rFonts w:ascii="宋体" w:hAnsi="宋体"/>
          <w:color w:val="000000"/>
          <w:sz w:val="24"/>
        </w:rPr>
      </w:pPr>
    </w:p>
    <w:p w14:paraId="287CCD07">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0AEA8DC2">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代理公司名称（签章）： </w:t>
      </w:r>
    </w:p>
    <w:p w14:paraId="13586BC6">
      <w:pPr>
        <w:widowControl/>
        <w:spacing w:before="100" w:beforeAutospacing="1" w:after="100" w:afterAutospacing="1" w:line="440" w:lineRule="exact"/>
        <w:jc w:val="left"/>
        <w:rPr>
          <w:rFonts w:hint="eastAsia" w:ascii="宋体" w:hAnsi="宋体" w:cs="宋体"/>
          <w:kern w:val="0"/>
          <w:sz w:val="24"/>
        </w:rPr>
      </w:pPr>
      <w:r>
        <w:rPr>
          <w:rFonts w:hint="eastAsia" w:ascii="宋体" w:hAnsi="宋体" w:cs="宋体"/>
          <w:kern w:val="0"/>
          <w:sz w:val="24"/>
        </w:rPr>
        <w:t xml:space="preserve">日期： 年 月 日 </w:t>
      </w:r>
    </w:p>
    <w:p w14:paraId="54EE4265">
      <w:pPr>
        <w:widowControl/>
        <w:spacing w:before="100" w:beforeAutospacing="1" w:after="100" w:afterAutospacing="1" w:line="440" w:lineRule="exact"/>
        <w:jc w:val="left"/>
        <w:rPr>
          <w:rFonts w:hint="eastAsia" w:ascii="宋体" w:hAnsi="宋体" w:cs="宋体"/>
          <w:kern w:val="0"/>
          <w:sz w:val="24"/>
        </w:rPr>
      </w:pPr>
    </w:p>
    <w:p w14:paraId="758B769A">
      <w:pPr>
        <w:widowControl/>
        <w:spacing w:before="100" w:beforeAutospacing="1" w:after="100" w:afterAutospacing="1" w:line="440" w:lineRule="exact"/>
        <w:jc w:val="left"/>
        <w:rPr>
          <w:rFonts w:hint="eastAsia" w:ascii="宋体" w:hAnsi="宋体" w:cs="宋体"/>
          <w:kern w:val="0"/>
          <w:sz w:val="24"/>
        </w:rPr>
      </w:pPr>
    </w:p>
    <w:p w14:paraId="070EB4F3">
      <w:pPr>
        <w:widowControl/>
        <w:spacing w:before="100" w:beforeAutospacing="1" w:after="100" w:afterAutospacing="1" w:line="440" w:lineRule="exact"/>
        <w:jc w:val="left"/>
        <w:rPr>
          <w:rFonts w:hint="eastAsia" w:ascii="宋体" w:hAnsi="宋体" w:cs="宋体"/>
          <w:kern w:val="0"/>
          <w:sz w:val="24"/>
        </w:rPr>
      </w:pPr>
    </w:p>
    <w:p w14:paraId="0D7197BC">
      <w:pPr>
        <w:widowControl/>
        <w:spacing w:before="100" w:beforeAutospacing="1" w:after="100" w:afterAutospacing="1" w:line="440" w:lineRule="exact"/>
        <w:jc w:val="left"/>
        <w:rPr>
          <w:rFonts w:hint="eastAsia" w:ascii="宋体" w:hAnsi="宋体" w:cs="宋体"/>
          <w:kern w:val="0"/>
          <w:sz w:val="24"/>
        </w:rPr>
      </w:pPr>
    </w:p>
    <w:p w14:paraId="47077A91">
      <w:pPr>
        <w:widowControl/>
        <w:spacing w:before="100" w:beforeAutospacing="1" w:after="100" w:afterAutospacing="1" w:line="440" w:lineRule="exact"/>
        <w:jc w:val="left"/>
        <w:rPr>
          <w:rFonts w:hint="eastAsia" w:ascii="宋体" w:hAnsi="宋体" w:cs="宋体"/>
          <w:kern w:val="0"/>
          <w:sz w:val="24"/>
        </w:rPr>
      </w:pPr>
    </w:p>
    <w:p w14:paraId="6CFDF3C5">
      <w:pPr>
        <w:spacing w:line="440" w:lineRule="exact"/>
        <w:jc w:val="center"/>
        <w:rPr>
          <w:rFonts w:ascii="宋体" w:hAnsi="宋体" w:cs="宋体"/>
          <w:kern w:val="0"/>
          <w:sz w:val="24"/>
        </w:rPr>
      </w:pPr>
    </w:p>
    <w:p w14:paraId="0E3DBCFD">
      <w:pPr>
        <w:spacing w:line="440" w:lineRule="exact"/>
        <w:jc w:val="left"/>
        <w:outlineLvl w:val="0"/>
        <w:rPr>
          <w:rFonts w:ascii="宋体" w:hAnsi="宋体"/>
          <w:b/>
          <w:sz w:val="28"/>
          <w:szCs w:val="28"/>
        </w:rPr>
      </w:pPr>
      <w:bookmarkStart w:id="31" w:name="_Toc75"/>
      <w:bookmarkStart w:id="32" w:name="_Toc16365"/>
      <w:r>
        <w:rPr>
          <w:rFonts w:hint="eastAsia" w:ascii="宋体" w:hAnsi="宋体"/>
          <w:b/>
          <w:sz w:val="28"/>
          <w:szCs w:val="28"/>
        </w:rPr>
        <w:t>二、</w:t>
      </w:r>
      <w:r>
        <w:rPr>
          <w:rFonts w:ascii="宋体" w:hAnsi="宋体"/>
          <w:b/>
          <w:sz w:val="28"/>
          <w:szCs w:val="28"/>
        </w:rPr>
        <w:t>法定代表人身份证明或授权委托书</w:t>
      </w:r>
      <w:bookmarkEnd w:id="31"/>
      <w:bookmarkEnd w:id="32"/>
    </w:p>
    <w:p w14:paraId="403E69A9">
      <w:pPr>
        <w:spacing w:line="440" w:lineRule="exact"/>
        <w:jc w:val="left"/>
        <w:rPr>
          <w:rFonts w:ascii="宋体" w:hAnsi="宋体"/>
          <w:b/>
          <w:sz w:val="32"/>
          <w:szCs w:val="32"/>
        </w:rPr>
      </w:pPr>
    </w:p>
    <w:p w14:paraId="79C590BB">
      <w:pPr>
        <w:spacing w:line="440" w:lineRule="exact"/>
        <w:jc w:val="left"/>
        <w:rPr>
          <w:rFonts w:ascii="宋体" w:hAnsi="宋体"/>
          <w:b/>
          <w:sz w:val="32"/>
          <w:szCs w:val="32"/>
        </w:rPr>
      </w:pPr>
    </w:p>
    <w:p w14:paraId="7658EDEE">
      <w:pPr>
        <w:spacing w:line="440" w:lineRule="exact"/>
        <w:jc w:val="center"/>
        <w:rPr>
          <w:rFonts w:ascii="宋体" w:hAnsi="宋体"/>
          <w:b/>
          <w:sz w:val="32"/>
          <w:szCs w:val="32"/>
        </w:rPr>
      </w:pPr>
      <w:r>
        <w:rPr>
          <w:rFonts w:ascii="宋体" w:hAnsi="宋体"/>
          <w:b/>
          <w:sz w:val="32"/>
          <w:szCs w:val="32"/>
        </w:rPr>
        <w:t>法定代表人身份证明或授权委托书</w:t>
      </w:r>
    </w:p>
    <w:p w14:paraId="34B7A67E">
      <w:pPr>
        <w:spacing w:line="440" w:lineRule="exact"/>
        <w:rPr>
          <w:rFonts w:ascii="宋体" w:hAnsi="宋体"/>
          <w:sz w:val="24"/>
        </w:rPr>
      </w:pPr>
      <w:r>
        <w:rPr>
          <w:rFonts w:hint="eastAsia" w:ascii="宋体" w:hAnsi="宋体"/>
          <w:sz w:val="24"/>
          <w:lang w:eastAsia="zh-CN"/>
        </w:rPr>
        <w:t>扬州市第三人民医院</w:t>
      </w:r>
      <w:r>
        <w:rPr>
          <w:rFonts w:ascii="宋体" w:hAnsi="宋体"/>
          <w:sz w:val="24"/>
        </w:rPr>
        <w:t>：</w:t>
      </w:r>
    </w:p>
    <w:p w14:paraId="637A6E92">
      <w:pPr>
        <w:spacing w:line="440" w:lineRule="exact"/>
        <w:ind w:firstLine="480" w:firstLineChars="200"/>
        <w:rPr>
          <w:rFonts w:ascii="宋体" w:hAnsi="宋体"/>
          <w:sz w:val="24"/>
        </w:rPr>
      </w:pPr>
      <w:r>
        <w:rPr>
          <w:rFonts w:ascii="宋体" w:hAnsi="宋体"/>
          <w:sz w:val="24"/>
          <w:u w:val="single"/>
        </w:rPr>
        <w:t xml:space="preserve">                  </w:t>
      </w:r>
      <w:r>
        <w:rPr>
          <w:rFonts w:ascii="宋体" w:hAnsi="宋体"/>
          <w:sz w:val="24"/>
        </w:rPr>
        <w:t>（单位名称）法定代表人授权我单位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385DD78">
      <w:pPr>
        <w:topLinePunct/>
        <w:spacing w:line="440" w:lineRule="exact"/>
        <w:rPr>
          <w:rFonts w:ascii="宋体" w:hAnsi="宋体"/>
          <w:sz w:val="24"/>
        </w:rPr>
      </w:pPr>
      <w:r>
        <w:rPr>
          <w:rFonts w:ascii="宋体" w:hAnsi="宋体"/>
          <w:sz w:val="24"/>
          <w:u w:val="single"/>
        </w:rPr>
        <w:t xml:space="preserve">          </w:t>
      </w:r>
      <w:r>
        <w:rPr>
          <w:rFonts w:ascii="宋体" w:hAnsi="宋体"/>
          <w:sz w:val="24"/>
        </w:rPr>
        <w:t>（职务或职称）</w:t>
      </w:r>
      <w:r>
        <w:rPr>
          <w:rFonts w:ascii="宋体" w:hAnsi="宋体"/>
          <w:sz w:val="24"/>
          <w:u w:val="single"/>
        </w:rPr>
        <w:t xml:space="preserve">        </w:t>
      </w:r>
      <w:r>
        <w:rPr>
          <w:rFonts w:ascii="宋体" w:hAnsi="宋体"/>
          <w:sz w:val="24"/>
        </w:rPr>
        <w:t>（姓名）为我单位本次授权代理人，全权处理此次编号为</w:t>
      </w:r>
      <w:r>
        <w:rPr>
          <w:rFonts w:ascii="宋体" w:hAnsi="宋体"/>
          <w:sz w:val="24"/>
          <w:u w:val="single"/>
        </w:rPr>
        <w:t xml:space="preserve">                         </w:t>
      </w:r>
      <w:r>
        <w:rPr>
          <w:rFonts w:ascii="宋体" w:hAnsi="宋体"/>
          <w:sz w:val="24"/>
        </w:rPr>
        <w:t>项目代理招标活动的一切事宜。</w:t>
      </w:r>
    </w:p>
    <w:p w14:paraId="7EE7AFEF">
      <w:pPr>
        <w:pStyle w:val="28"/>
        <w:widowControl w:val="0"/>
        <w:spacing w:before="0" w:beforeAutospacing="0" w:after="0" w:afterAutospacing="0" w:line="440" w:lineRule="exact"/>
        <w:jc w:val="both"/>
        <w:rPr>
          <w:rFonts w:cs="Times New Roman"/>
        </w:rPr>
      </w:pPr>
    </w:p>
    <w:p w14:paraId="1B1298C3">
      <w:pPr>
        <w:spacing w:line="440" w:lineRule="exact"/>
        <w:ind w:firstLine="630"/>
        <w:rPr>
          <w:rFonts w:ascii="宋体" w:hAnsi="宋体"/>
          <w:sz w:val="24"/>
        </w:rPr>
      </w:pPr>
      <w:r>
        <w:rPr>
          <w:rFonts w:ascii="宋体" w:hAnsi="宋体"/>
          <w:sz w:val="24"/>
        </w:rPr>
        <w:t>特此授权</w:t>
      </w:r>
    </w:p>
    <w:p w14:paraId="322B2D45">
      <w:pPr>
        <w:spacing w:line="440" w:lineRule="exact"/>
        <w:ind w:firstLine="600"/>
        <w:rPr>
          <w:rFonts w:ascii="宋体" w:hAnsi="宋体"/>
          <w:sz w:val="24"/>
        </w:rPr>
      </w:pPr>
      <w:r>
        <w:rPr>
          <w:rFonts w:ascii="宋体" w:hAnsi="宋体"/>
          <w:sz w:val="24"/>
        </w:rPr>
        <w:t>（附法定代表人、授权代理人身份证明复印件）</w:t>
      </w:r>
    </w:p>
    <w:p w14:paraId="3FE2AC93">
      <w:pPr>
        <w:spacing w:line="440" w:lineRule="exact"/>
        <w:ind w:firstLine="630"/>
        <w:rPr>
          <w:rFonts w:ascii="宋体" w:hAnsi="宋体"/>
          <w:sz w:val="24"/>
        </w:rPr>
      </w:pPr>
    </w:p>
    <w:p w14:paraId="2B9EC9D1">
      <w:pPr>
        <w:spacing w:line="440" w:lineRule="exact"/>
        <w:ind w:firstLine="629"/>
        <w:rPr>
          <w:rFonts w:ascii="宋体" w:hAnsi="宋体"/>
          <w:sz w:val="24"/>
        </w:rPr>
      </w:pPr>
      <w:r>
        <w:rPr>
          <w:rFonts w:ascii="宋体" w:hAnsi="宋体"/>
          <w:sz w:val="24"/>
        </w:rPr>
        <w:t>单位名称（公章）：</w:t>
      </w:r>
    </w:p>
    <w:p w14:paraId="6EC4F15C">
      <w:pPr>
        <w:spacing w:line="440" w:lineRule="exact"/>
        <w:ind w:firstLine="629"/>
        <w:rPr>
          <w:rFonts w:ascii="宋体" w:hAnsi="宋体"/>
          <w:sz w:val="24"/>
        </w:rPr>
      </w:pPr>
      <w:r>
        <w:rPr>
          <w:rFonts w:ascii="宋体" w:hAnsi="宋体"/>
          <w:sz w:val="24"/>
        </w:rPr>
        <w:t>法定代表人（签字或盖章）：</w:t>
      </w:r>
    </w:p>
    <w:p w14:paraId="10DDDCDA">
      <w:pPr>
        <w:spacing w:line="440" w:lineRule="exact"/>
        <w:ind w:firstLine="629"/>
        <w:rPr>
          <w:rFonts w:ascii="宋体" w:hAnsi="宋体"/>
          <w:sz w:val="24"/>
        </w:rPr>
      </w:pPr>
      <w:r>
        <w:rPr>
          <w:rFonts w:ascii="宋体" w:hAnsi="宋体"/>
          <w:sz w:val="24"/>
        </w:rPr>
        <w:t>法人授权代表（签字）：</w:t>
      </w:r>
    </w:p>
    <w:p w14:paraId="703FA03C">
      <w:pPr>
        <w:spacing w:line="440" w:lineRule="exact"/>
        <w:ind w:firstLine="629"/>
        <w:rPr>
          <w:rFonts w:ascii="宋体" w:hAnsi="宋体"/>
          <w:sz w:val="24"/>
        </w:rPr>
      </w:pPr>
    </w:p>
    <w:p w14:paraId="1B4912A2">
      <w:pPr>
        <w:spacing w:line="440" w:lineRule="exact"/>
        <w:ind w:firstLine="629"/>
        <w:rPr>
          <w:rFonts w:ascii="宋体" w:hAnsi="宋体"/>
          <w:sz w:val="24"/>
        </w:rPr>
      </w:pPr>
    </w:p>
    <w:p w14:paraId="59DCEC36">
      <w:pPr>
        <w:spacing w:line="440" w:lineRule="exact"/>
        <w:ind w:firstLine="629"/>
        <w:rPr>
          <w:rFonts w:ascii="宋体" w:hAnsi="宋体"/>
          <w:sz w:val="24"/>
        </w:rPr>
      </w:pPr>
      <w:r>
        <w:rPr>
          <w:rFonts w:hint="eastAsia" w:ascii="宋体" w:hAnsi="宋体"/>
          <w:sz w:val="24"/>
        </w:rPr>
        <w:t>法人授权代表身份证复印件：</w:t>
      </w:r>
    </w:p>
    <w:p w14:paraId="793F786B">
      <w:pPr>
        <w:spacing w:line="440" w:lineRule="exact"/>
        <w:ind w:firstLine="629"/>
        <w:rPr>
          <w:rFonts w:ascii="宋体" w:hAnsi="宋体"/>
          <w:sz w:val="24"/>
        </w:rPr>
      </w:pPr>
    </w:p>
    <w:p w14:paraId="65FF1FCB">
      <w:pPr>
        <w:spacing w:line="440" w:lineRule="exact"/>
        <w:ind w:firstLine="629"/>
        <w:rPr>
          <w:rFonts w:ascii="宋体" w:hAnsi="宋体"/>
          <w:sz w:val="24"/>
        </w:rPr>
      </w:pPr>
    </w:p>
    <w:p w14:paraId="10F1C915">
      <w:pPr>
        <w:spacing w:line="440" w:lineRule="exact"/>
        <w:ind w:firstLine="629"/>
        <w:rPr>
          <w:rFonts w:ascii="宋体" w:hAnsi="宋体"/>
          <w:sz w:val="24"/>
        </w:rPr>
      </w:pPr>
    </w:p>
    <w:p w14:paraId="2379A138">
      <w:pPr>
        <w:spacing w:line="440" w:lineRule="exact"/>
        <w:ind w:firstLine="629"/>
        <w:rPr>
          <w:rFonts w:ascii="宋体" w:hAnsi="宋体"/>
          <w:sz w:val="24"/>
        </w:rPr>
      </w:pPr>
    </w:p>
    <w:p w14:paraId="12E7676E">
      <w:pPr>
        <w:spacing w:line="440" w:lineRule="exact"/>
        <w:ind w:firstLine="629"/>
        <w:rPr>
          <w:rFonts w:ascii="宋体" w:hAnsi="宋体"/>
          <w:sz w:val="24"/>
        </w:rPr>
      </w:pPr>
    </w:p>
    <w:p w14:paraId="20219C09">
      <w:pPr>
        <w:spacing w:line="440" w:lineRule="exact"/>
        <w:ind w:firstLine="629"/>
        <w:rPr>
          <w:rFonts w:ascii="宋体" w:hAnsi="宋体"/>
          <w:sz w:val="24"/>
        </w:rPr>
      </w:pPr>
    </w:p>
    <w:p w14:paraId="5DE2EBB5">
      <w:pPr>
        <w:spacing w:line="440" w:lineRule="exact"/>
        <w:ind w:firstLine="629"/>
        <w:rPr>
          <w:rFonts w:ascii="宋体" w:hAnsi="宋体"/>
          <w:color w:val="000000"/>
          <w:sz w:val="24"/>
        </w:rPr>
      </w:pPr>
      <w:r>
        <w:rPr>
          <w:rFonts w:hint="eastAsia" w:ascii="宋体" w:hAnsi="宋体"/>
          <w:sz w:val="24"/>
        </w:rPr>
        <w:t>法人身份证复印件：</w:t>
      </w:r>
      <w:r>
        <w:rPr>
          <w:rFonts w:ascii="宋体" w:hAnsi="宋体"/>
          <w:color w:val="000000"/>
          <w:sz w:val="24"/>
        </w:rPr>
        <w:t xml:space="preserve"> </w:t>
      </w:r>
    </w:p>
    <w:p w14:paraId="3935D304">
      <w:pPr>
        <w:spacing w:line="440" w:lineRule="exact"/>
        <w:rPr>
          <w:rFonts w:ascii="宋体" w:hAnsi="宋体"/>
          <w:sz w:val="24"/>
        </w:rPr>
      </w:pPr>
    </w:p>
    <w:p w14:paraId="40772619">
      <w:pPr>
        <w:spacing w:line="440" w:lineRule="exact"/>
        <w:rPr>
          <w:rFonts w:ascii="宋体" w:hAnsi="宋体"/>
          <w:sz w:val="24"/>
        </w:rPr>
      </w:pPr>
    </w:p>
    <w:p w14:paraId="7E6DD718">
      <w:pPr>
        <w:spacing w:line="440" w:lineRule="exact"/>
        <w:rPr>
          <w:rFonts w:ascii="宋体" w:hAnsi="宋体"/>
          <w:sz w:val="24"/>
        </w:rPr>
      </w:pPr>
    </w:p>
    <w:p w14:paraId="1539E400">
      <w:pPr>
        <w:spacing w:line="440" w:lineRule="exact"/>
        <w:rPr>
          <w:rFonts w:ascii="宋体" w:hAnsi="宋体"/>
          <w:sz w:val="24"/>
        </w:rPr>
      </w:pPr>
    </w:p>
    <w:p w14:paraId="79E77682">
      <w:pPr>
        <w:spacing w:line="440" w:lineRule="exact"/>
        <w:rPr>
          <w:rFonts w:hint="eastAsia" w:ascii="宋体" w:hAnsi="宋体"/>
          <w:sz w:val="24"/>
        </w:rPr>
      </w:pPr>
    </w:p>
    <w:p w14:paraId="269FD1DE">
      <w:pPr>
        <w:spacing w:line="440" w:lineRule="exact"/>
        <w:rPr>
          <w:rFonts w:ascii="宋体" w:hAnsi="宋体"/>
          <w:sz w:val="24"/>
        </w:rPr>
      </w:pPr>
    </w:p>
    <w:p w14:paraId="1DDCB035">
      <w:pPr>
        <w:spacing w:line="440" w:lineRule="exact"/>
        <w:rPr>
          <w:rFonts w:hint="eastAsia" w:ascii="宋体" w:hAnsi="宋体"/>
          <w:sz w:val="24"/>
        </w:rPr>
      </w:pPr>
    </w:p>
    <w:p w14:paraId="63C2E600">
      <w:pPr>
        <w:spacing w:line="440" w:lineRule="exact"/>
        <w:jc w:val="left"/>
        <w:outlineLvl w:val="0"/>
        <w:rPr>
          <w:rFonts w:hint="eastAsia" w:ascii="宋体" w:hAnsi="宋体"/>
          <w:b/>
          <w:sz w:val="28"/>
          <w:szCs w:val="28"/>
        </w:rPr>
      </w:pPr>
      <w:bookmarkStart w:id="33" w:name="_Toc20993"/>
      <w:r>
        <w:rPr>
          <w:rFonts w:hint="eastAsia" w:ascii="宋体" w:hAnsi="宋体"/>
          <w:b/>
          <w:sz w:val="28"/>
          <w:szCs w:val="28"/>
        </w:rPr>
        <w:t>三、响应人营业执照副本和税务登记证复印件（或“三证合一”的营业执照或事业单位法人证书复印件）</w:t>
      </w:r>
      <w:bookmarkEnd w:id="33"/>
    </w:p>
    <w:p w14:paraId="47ABBF9A">
      <w:pPr>
        <w:spacing w:line="440" w:lineRule="exact"/>
        <w:rPr>
          <w:rFonts w:hint="eastAsia" w:ascii="宋体" w:hAnsi="宋体"/>
          <w:sz w:val="24"/>
        </w:rPr>
      </w:pPr>
    </w:p>
    <w:p w14:paraId="655D9328">
      <w:pPr>
        <w:spacing w:line="440" w:lineRule="exact"/>
        <w:jc w:val="left"/>
        <w:outlineLvl w:val="0"/>
        <w:rPr>
          <w:rFonts w:ascii="宋体" w:hAnsi="宋体"/>
          <w:b/>
          <w:sz w:val="28"/>
          <w:szCs w:val="28"/>
        </w:rPr>
      </w:pPr>
      <w:bookmarkStart w:id="34" w:name="_Toc19022"/>
      <w:bookmarkStart w:id="35" w:name="_Toc8293"/>
      <w:r>
        <w:rPr>
          <w:rFonts w:hint="eastAsia" w:ascii="宋体" w:hAnsi="宋体"/>
          <w:b/>
          <w:sz w:val="28"/>
          <w:szCs w:val="28"/>
          <w:lang w:val="en-US" w:eastAsia="zh-CN"/>
        </w:rPr>
        <w:t>四</w:t>
      </w:r>
      <w:r>
        <w:rPr>
          <w:rFonts w:hint="eastAsia" w:ascii="宋体" w:hAnsi="宋体"/>
          <w:b/>
          <w:sz w:val="28"/>
          <w:szCs w:val="28"/>
        </w:rPr>
        <w:t>、</w:t>
      </w:r>
      <w:r>
        <w:rPr>
          <w:rFonts w:ascii="宋体" w:hAnsi="宋体"/>
          <w:b/>
          <w:sz w:val="28"/>
          <w:szCs w:val="28"/>
        </w:rPr>
        <w:t>无重大违法行为声明</w:t>
      </w:r>
      <w:bookmarkEnd w:id="34"/>
      <w:bookmarkEnd w:id="35"/>
    </w:p>
    <w:p w14:paraId="7EEAC458">
      <w:pPr>
        <w:spacing w:line="440" w:lineRule="exact"/>
        <w:jc w:val="left"/>
        <w:rPr>
          <w:rFonts w:ascii="宋体" w:hAnsi="宋体"/>
          <w:b/>
          <w:sz w:val="28"/>
          <w:szCs w:val="28"/>
        </w:rPr>
      </w:pPr>
    </w:p>
    <w:p w14:paraId="7D536C99">
      <w:pPr>
        <w:pStyle w:val="142"/>
        <w:spacing w:line="440" w:lineRule="exact"/>
        <w:jc w:val="center"/>
        <w:rPr>
          <w:rFonts w:ascii="宋体"/>
          <w:b/>
          <w:bCs/>
          <w:sz w:val="32"/>
          <w:szCs w:val="32"/>
        </w:rPr>
      </w:pPr>
    </w:p>
    <w:p w14:paraId="159F69FA">
      <w:pPr>
        <w:spacing w:line="440" w:lineRule="exact"/>
        <w:jc w:val="center"/>
        <w:rPr>
          <w:rFonts w:ascii="宋体" w:hAnsi="宋体"/>
          <w:b/>
          <w:sz w:val="32"/>
          <w:szCs w:val="32"/>
        </w:rPr>
      </w:pPr>
      <w:r>
        <w:rPr>
          <w:rFonts w:ascii="宋体" w:hAnsi="宋体"/>
          <w:b/>
          <w:sz w:val="32"/>
          <w:szCs w:val="32"/>
        </w:rPr>
        <w:t>无重大违法行为声明</w:t>
      </w:r>
    </w:p>
    <w:p w14:paraId="25E64913">
      <w:pPr>
        <w:spacing w:line="440" w:lineRule="exact"/>
        <w:jc w:val="center"/>
        <w:rPr>
          <w:rFonts w:ascii="宋体" w:hAnsi="宋体"/>
          <w:b/>
          <w:sz w:val="32"/>
          <w:szCs w:val="32"/>
        </w:rPr>
      </w:pPr>
    </w:p>
    <w:p w14:paraId="2189CEE7">
      <w:pPr>
        <w:pStyle w:val="143"/>
        <w:tabs>
          <w:tab w:val="left" w:pos="1498"/>
        </w:tabs>
        <w:spacing w:line="440" w:lineRule="exact"/>
        <w:rPr>
          <w:rFonts w:ascii="宋体" w:hAnsi="宋体"/>
          <w:sz w:val="24"/>
        </w:rPr>
      </w:pPr>
      <w:r>
        <w:rPr>
          <w:rFonts w:hint="eastAsia" w:ascii="宋体" w:hAnsi="宋体"/>
          <w:sz w:val="24"/>
          <w:lang w:eastAsia="zh-CN"/>
        </w:rPr>
        <w:t>扬州市第三人民医院</w:t>
      </w:r>
      <w:r>
        <w:rPr>
          <w:rFonts w:hint="eastAsia" w:ascii="宋体" w:hAnsi="宋体"/>
          <w:sz w:val="24"/>
        </w:rPr>
        <w:t>：</w:t>
      </w:r>
    </w:p>
    <w:p w14:paraId="2A6B1D3A">
      <w:pPr>
        <w:pStyle w:val="143"/>
        <w:spacing w:line="440" w:lineRule="exact"/>
        <w:ind w:firstLine="600"/>
        <w:rPr>
          <w:rFonts w:ascii="宋体" w:hAnsi="宋体"/>
          <w:sz w:val="24"/>
        </w:rPr>
      </w:pPr>
      <w:r>
        <w:rPr>
          <w:rFonts w:hint="eastAsia" w:ascii="宋体" w:hAnsi="宋体"/>
          <w:sz w:val="24"/>
        </w:rPr>
        <w:t xml:space="preserve">我公司在参加编号为 </w:t>
      </w:r>
      <w:r>
        <w:rPr>
          <w:rFonts w:hint="eastAsia" w:ascii="宋体" w:hAnsi="宋体"/>
          <w:sz w:val="24"/>
          <w:u w:val="single"/>
        </w:rPr>
        <w:t xml:space="preserve">                        </w:t>
      </w:r>
      <w:r>
        <w:rPr>
          <w:rFonts w:hint="eastAsia" w:ascii="宋体" w:hAnsi="宋体"/>
          <w:sz w:val="24"/>
        </w:rPr>
        <w:t xml:space="preserve"> 的代理招标活动前3年内，</w:t>
      </w:r>
      <w:r>
        <w:rPr>
          <w:rFonts w:ascii="宋体" w:hAnsi="宋体"/>
          <w:sz w:val="24"/>
        </w:rPr>
        <w:t>在经营活动中没有重大违法记录</w:t>
      </w:r>
      <w:r>
        <w:rPr>
          <w:rFonts w:hint="eastAsia" w:ascii="宋体" w:hAnsi="宋体"/>
          <w:sz w:val="24"/>
        </w:rPr>
        <w:t>。</w:t>
      </w:r>
    </w:p>
    <w:p w14:paraId="4D38056B">
      <w:pPr>
        <w:pStyle w:val="143"/>
        <w:spacing w:line="440" w:lineRule="exact"/>
        <w:ind w:firstLine="600"/>
        <w:rPr>
          <w:rFonts w:ascii="宋体" w:hAnsi="宋体"/>
          <w:sz w:val="24"/>
        </w:rPr>
      </w:pPr>
      <w:r>
        <w:rPr>
          <w:rFonts w:hint="eastAsia" w:ascii="宋体" w:hAnsi="宋体"/>
          <w:sz w:val="24"/>
        </w:rPr>
        <w:t>特此声明。</w:t>
      </w:r>
    </w:p>
    <w:p w14:paraId="5B1A6A01">
      <w:pPr>
        <w:pStyle w:val="143"/>
        <w:spacing w:line="440" w:lineRule="exact"/>
        <w:ind w:firstLine="600"/>
        <w:rPr>
          <w:rFonts w:ascii="宋体" w:hAnsi="宋体"/>
          <w:sz w:val="24"/>
        </w:rPr>
      </w:pPr>
    </w:p>
    <w:p w14:paraId="7654A792">
      <w:pPr>
        <w:pStyle w:val="143"/>
        <w:spacing w:line="440" w:lineRule="exact"/>
        <w:ind w:firstLine="600"/>
        <w:rPr>
          <w:rFonts w:ascii="宋体" w:hAnsi="宋体"/>
          <w:sz w:val="24"/>
        </w:rPr>
      </w:pPr>
      <w:r>
        <w:rPr>
          <w:rFonts w:hint="eastAsia" w:ascii="宋体" w:hAnsi="宋体"/>
          <w:sz w:val="24"/>
        </w:rPr>
        <w:t>注：重大违法记录，是指代理公司因违法经营受到刑事处罚或者责令停产停业、吊销许可证或者执照、较大数额罚款等行政处罚。</w:t>
      </w:r>
    </w:p>
    <w:p w14:paraId="5E216CF2">
      <w:pPr>
        <w:pStyle w:val="143"/>
        <w:spacing w:line="440" w:lineRule="exact"/>
        <w:ind w:firstLine="600"/>
        <w:rPr>
          <w:rFonts w:ascii="仿宋_GB2312" w:eastAsia="仿宋_GB2312"/>
          <w:sz w:val="24"/>
        </w:rPr>
      </w:pPr>
    </w:p>
    <w:p w14:paraId="2688CC8A">
      <w:pPr>
        <w:pStyle w:val="143"/>
        <w:spacing w:line="440" w:lineRule="exact"/>
        <w:ind w:firstLine="600"/>
        <w:rPr>
          <w:rFonts w:ascii="仿宋_GB2312" w:eastAsia="仿宋_GB2312"/>
          <w:sz w:val="24"/>
        </w:rPr>
      </w:pPr>
    </w:p>
    <w:p w14:paraId="69E11DB5">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2E513461">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响应代理公司名称（签章）： </w:t>
      </w:r>
    </w:p>
    <w:p w14:paraId="6888B651">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日期： 年 月 日 </w:t>
      </w:r>
    </w:p>
    <w:p w14:paraId="31B790D2">
      <w:pPr>
        <w:spacing w:before="343" w:line="250" w:lineRule="exact"/>
        <w:rPr>
          <w:rFonts w:hint="eastAsia" w:ascii="宋体" w:hAnsi="宋体"/>
          <w:b/>
          <w:sz w:val="28"/>
          <w:szCs w:val="28"/>
        </w:rPr>
      </w:pPr>
    </w:p>
    <w:p w14:paraId="53F368B5">
      <w:pPr>
        <w:spacing w:before="343" w:line="250" w:lineRule="exact"/>
        <w:rPr>
          <w:rFonts w:hint="eastAsia" w:ascii="宋体" w:hAnsi="宋体"/>
          <w:b/>
          <w:sz w:val="28"/>
          <w:szCs w:val="28"/>
        </w:rPr>
      </w:pPr>
    </w:p>
    <w:p w14:paraId="202CE560">
      <w:pPr>
        <w:spacing w:before="343" w:line="250" w:lineRule="exact"/>
        <w:rPr>
          <w:rFonts w:hint="eastAsia" w:ascii="宋体" w:hAnsi="宋体"/>
          <w:b/>
          <w:sz w:val="28"/>
          <w:szCs w:val="28"/>
        </w:rPr>
      </w:pPr>
    </w:p>
    <w:p w14:paraId="34643F2F">
      <w:pPr>
        <w:spacing w:before="343" w:line="250" w:lineRule="exact"/>
        <w:rPr>
          <w:rFonts w:hint="eastAsia" w:ascii="宋体" w:hAnsi="宋体"/>
          <w:b/>
          <w:sz w:val="28"/>
          <w:szCs w:val="28"/>
        </w:rPr>
      </w:pPr>
    </w:p>
    <w:p w14:paraId="34BDFA7B">
      <w:pPr>
        <w:spacing w:before="343" w:line="250" w:lineRule="exact"/>
        <w:rPr>
          <w:rFonts w:hint="eastAsia" w:ascii="宋体" w:hAnsi="宋体"/>
          <w:b/>
          <w:sz w:val="28"/>
          <w:szCs w:val="28"/>
        </w:rPr>
      </w:pPr>
    </w:p>
    <w:p w14:paraId="26B65AFC">
      <w:pPr>
        <w:spacing w:before="343" w:line="250" w:lineRule="exact"/>
        <w:rPr>
          <w:rFonts w:hint="eastAsia" w:ascii="宋体" w:hAnsi="宋体"/>
          <w:b/>
          <w:sz w:val="28"/>
          <w:szCs w:val="28"/>
        </w:rPr>
      </w:pPr>
    </w:p>
    <w:p w14:paraId="28C25114">
      <w:pPr>
        <w:spacing w:before="343" w:line="250" w:lineRule="exact"/>
        <w:rPr>
          <w:rFonts w:ascii="宋体" w:hAnsi="宋体"/>
          <w:b/>
          <w:sz w:val="28"/>
          <w:szCs w:val="28"/>
        </w:rPr>
      </w:pPr>
    </w:p>
    <w:p w14:paraId="385C2B44">
      <w:pPr>
        <w:pStyle w:val="39"/>
      </w:pPr>
    </w:p>
    <w:p w14:paraId="037D4D71">
      <w:pPr>
        <w:spacing w:line="440" w:lineRule="exact"/>
        <w:jc w:val="left"/>
        <w:outlineLvl w:val="0"/>
        <w:rPr>
          <w:rFonts w:ascii="宋体" w:hAnsi="宋体"/>
          <w:b/>
          <w:sz w:val="28"/>
          <w:szCs w:val="28"/>
        </w:rPr>
      </w:pPr>
      <w:bookmarkStart w:id="36" w:name="_Toc7370"/>
      <w:bookmarkStart w:id="37" w:name="_Toc23436"/>
      <w:r>
        <w:rPr>
          <w:rFonts w:hint="eastAsia" w:ascii="宋体" w:hAnsi="宋体"/>
          <w:b/>
          <w:sz w:val="28"/>
          <w:szCs w:val="28"/>
          <w:lang w:val="en-US" w:eastAsia="zh-CN"/>
        </w:rPr>
        <w:t>五</w:t>
      </w:r>
      <w:r>
        <w:rPr>
          <w:rFonts w:hint="eastAsia" w:ascii="宋体" w:hAnsi="宋体"/>
          <w:b/>
          <w:sz w:val="28"/>
          <w:szCs w:val="28"/>
        </w:rPr>
        <w:t>、报价一览表</w:t>
      </w:r>
      <w:bookmarkEnd w:id="36"/>
      <w:bookmarkEnd w:id="37"/>
    </w:p>
    <w:p w14:paraId="09E7FC94">
      <w:pPr>
        <w:spacing w:before="343" w:line="250" w:lineRule="exact"/>
        <w:rPr>
          <w:rFonts w:ascii="宋体" w:hAnsi="宋体"/>
          <w:b/>
          <w:sz w:val="28"/>
          <w:szCs w:val="28"/>
        </w:rPr>
      </w:pPr>
    </w:p>
    <w:p w14:paraId="61B6E782">
      <w:pPr>
        <w:spacing w:line="440" w:lineRule="exact"/>
        <w:jc w:val="center"/>
        <w:rPr>
          <w:rFonts w:ascii="宋体" w:hAnsi="宋体"/>
          <w:b/>
          <w:sz w:val="32"/>
          <w:szCs w:val="32"/>
        </w:rPr>
      </w:pPr>
      <w:r>
        <w:rPr>
          <w:rFonts w:hint="eastAsia" w:ascii="宋体" w:hAnsi="宋体"/>
          <w:b/>
          <w:sz w:val="32"/>
          <w:szCs w:val="32"/>
        </w:rPr>
        <w:t>报价（开标）一览表</w:t>
      </w:r>
    </w:p>
    <w:tbl>
      <w:tblPr>
        <w:tblStyle w:val="31"/>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335"/>
      </w:tblGrid>
      <w:tr w14:paraId="13A3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51" w:type="dxa"/>
            <w:vAlign w:val="center"/>
          </w:tcPr>
          <w:p w14:paraId="23F867ED">
            <w:pPr>
              <w:spacing w:line="600" w:lineRule="exact"/>
              <w:jc w:val="center"/>
              <w:rPr>
                <w:rFonts w:ascii="宋体" w:hAnsi="宋体"/>
                <w:sz w:val="24"/>
                <w:szCs w:val="24"/>
              </w:rPr>
            </w:pPr>
            <w:r>
              <w:rPr>
                <w:rFonts w:hint="eastAsia" w:ascii="宋体" w:hAnsi="宋体"/>
                <w:sz w:val="24"/>
                <w:szCs w:val="24"/>
              </w:rPr>
              <w:t>项目编号</w:t>
            </w:r>
          </w:p>
          <w:p w14:paraId="1138573C">
            <w:pPr>
              <w:spacing w:line="600" w:lineRule="exact"/>
              <w:jc w:val="center"/>
              <w:rPr>
                <w:rFonts w:ascii="宋体" w:hAnsi="宋体"/>
                <w:sz w:val="24"/>
                <w:szCs w:val="24"/>
              </w:rPr>
            </w:pPr>
            <w:r>
              <w:rPr>
                <w:rFonts w:hint="eastAsia" w:ascii="宋体" w:hAnsi="宋体"/>
                <w:sz w:val="24"/>
                <w:szCs w:val="24"/>
              </w:rPr>
              <w:t>及名称</w:t>
            </w:r>
          </w:p>
        </w:tc>
        <w:tc>
          <w:tcPr>
            <w:tcW w:w="7335" w:type="dxa"/>
            <w:vAlign w:val="center"/>
          </w:tcPr>
          <w:p w14:paraId="296060CB">
            <w:pPr>
              <w:pStyle w:val="19"/>
              <w:spacing w:line="440" w:lineRule="exact"/>
              <w:ind w:firstLine="0" w:firstLineChars="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YZSY-KJK-2025-001</w:t>
            </w:r>
          </w:p>
          <w:p w14:paraId="37AEEFCE">
            <w:pPr>
              <w:pStyle w:val="19"/>
              <w:spacing w:line="440" w:lineRule="exact"/>
              <w:ind w:firstLine="0" w:firstLineChars="0"/>
              <w:jc w:val="both"/>
              <w:rPr>
                <w:rFonts w:ascii="宋体" w:hAnsi="宋体" w:eastAsia="宋体"/>
                <w:sz w:val="24"/>
              </w:rPr>
            </w:pPr>
            <w:r>
              <w:rPr>
                <w:rFonts w:hint="eastAsia" w:ascii="宋体" w:hAnsi="宋体" w:eastAsia="宋体" w:cs="Times New Roman"/>
                <w:sz w:val="24"/>
                <w:lang w:val="en-US" w:eastAsia="zh-CN"/>
              </w:rPr>
              <w:t>扬州市第三人民医院科研试剂耗材采购管理平台项目</w:t>
            </w:r>
            <w:r>
              <w:rPr>
                <w:rFonts w:hint="eastAsia" w:ascii="宋体" w:hAnsi="宋体" w:eastAsia="宋体"/>
                <w:sz w:val="24"/>
              </w:rPr>
              <w:t>招标</w:t>
            </w:r>
          </w:p>
        </w:tc>
      </w:tr>
      <w:tr w14:paraId="4BB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1951" w:type="dxa"/>
            <w:vAlign w:val="center"/>
          </w:tcPr>
          <w:p w14:paraId="4124AB91">
            <w:pPr>
              <w:spacing w:line="600" w:lineRule="exact"/>
              <w:jc w:val="center"/>
              <w:rPr>
                <w:rFonts w:hint="eastAsia" w:ascii="宋体" w:hAnsi="宋体" w:eastAsia="宋体"/>
                <w:b/>
                <w:sz w:val="24"/>
                <w:szCs w:val="24"/>
                <w:lang w:val="en-US" w:eastAsia="zh-CN"/>
              </w:rPr>
            </w:pPr>
            <w:r>
              <w:rPr>
                <w:rFonts w:hint="eastAsia" w:ascii="宋体" w:hAnsi="宋体"/>
                <w:b/>
                <w:sz w:val="24"/>
                <w:szCs w:val="24"/>
                <w:lang w:val="en-US" w:eastAsia="zh-CN"/>
              </w:rPr>
              <w:t>报价</w:t>
            </w:r>
          </w:p>
        </w:tc>
        <w:tc>
          <w:tcPr>
            <w:tcW w:w="7335" w:type="dxa"/>
            <w:vAlign w:val="center"/>
          </w:tcPr>
          <w:p w14:paraId="2E55997F">
            <w:pPr>
              <w:spacing w:line="400" w:lineRule="exact"/>
              <w:rPr>
                <w:rFonts w:ascii="宋体" w:hAnsi="宋体"/>
                <w:b/>
                <w:sz w:val="24"/>
                <w:szCs w:val="24"/>
              </w:rPr>
            </w:pPr>
            <w:r>
              <w:rPr>
                <w:rFonts w:hint="eastAsia" w:ascii="宋体" w:hAnsi="宋体"/>
                <w:b/>
                <w:sz w:val="24"/>
                <w:szCs w:val="24"/>
                <w:lang w:val="en-US" w:eastAsia="zh-CN"/>
              </w:rPr>
              <w:t>按成交总价的</w:t>
            </w:r>
            <w:r>
              <w:rPr>
                <w:rFonts w:hint="eastAsia" w:ascii="宋体" w:hAnsi="宋体"/>
                <w:b/>
                <w:sz w:val="24"/>
                <w:szCs w:val="24"/>
                <w:u w:val="single"/>
                <w:lang w:val="en-US" w:eastAsia="zh-CN"/>
              </w:rPr>
              <w:t xml:space="preserve">       </w:t>
            </w:r>
            <w:r>
              <w:rPr>
                <w:rFonts w:hint="eastAsia" w:ascii="宋体" w:hAnsi="宋体"/>
                <w:b/>
                <w:sz w:val="24"/>
                <w:szCs w:val="24"/>
                <w:lang w:val="en-US" w:eastAsia="zh-CN"/>
              </w:rPr>
              <w:t>%向采购人收取。</w:t>
            </w:r>
          </w:p>
        </w:tc>
      </w:tr>
    </w:tbl>
    <w:p w14:paraId="105D531C">
      <w:pPr>
        <w:widowControl/>
        <w:spacing w:before="100" w:beforeAutospacing="1" w:after="100" w:afterAutospacing="1" w:line="440" w:lineRule="exact"/>
        <w:ind w:left="720"/>
        <w:contextualSpacing/>
        <w:jc w:val="left"/>
        <w:rPr>
          <w:rFonts w:ascii="宋体" w:hAnsi="宋体" w:cs="宋体"/>
          <w:kern w:val="0"/>
          <w:sz w:val="24"/>
        </w:rPr>
      </w:pPr>
    </w:p>
    <w:p w14:paraId="305B7911">
      <w:pPr>
        <w:widowControl/>
        <w:spacing w:before="100" w:beforeAutospacing="1" w:after="100" w:afterAutospacing="1" w:line="440" w:lineRule="exact"/>
        <w:ind w:left="720"/>
        <w:contextualSpacing/>
        <w:jc w:val="left"/>
        <w:rPr>
          <w:rFonts w:ascii="宋体" w:hAnsi="宋体" w:cs="宋体"/>
          <w:kern w:val="0"/>
          <w:sz w:val="24"/>
        </w:rPr>
      </w:pPr>
    </w:p>
    <w:p w14:paraId="6D163833">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4FC8129B">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公司名称（签章）： </w:t>
      </w:r>
    </w:p>
    <w:p w14:paraId="5B4B49E1">
      <w:pPr>
        <w:widowControl/>
        <w:spacing w:before="100" w:beforeAutospacing="1" w:after="100" w:afterAutospacing="1" w:line="440" w:lineRule="exact"/>
        <w:jc w:val="left"/>
        <w:rPr>
          <w:rFonts w:ascii="宋体" w:hAnsi="宋体" w:cs="宋体"/>
          <w:b/>
          <w:kern w:val="0"/>
          <w:sz w:val="28"/>
          <w:szCs w:val="28"/>
        </w:rPr>
        <w:sectPr>
          <w:headerReference r:id="rId6" w:type="first"/>
          <w:footerReference r:id="rId9" w:type="first"/>
          <w:headerReference r:id="rId5" w:type="default"/>
          <w:footerReference r:id="rId7" w:type="default"/>
          <w:footerReference r:id="rId8" w:type="even"/>
          <w:pgSz w:w="11906" w:h="16838"/>
          <w:pgMar w:top="1418" w:right="1474" w:bottom="1021" w:left="1588" w:header="851" w:footer="567" w:gutter="0"/>
          <w:pgNumType w:fmt="numberInDash"/>
          <w:cols w:space="720" w:num="1"/>
          <w:titlePg/>
          <w:docGrid w:type="lines" w:linePitch="312" w:charSpace="0"/>
        </w:sectPr>
      </w:pPr>
      <w:r>
        <w:rPr>
          <w:rFonts w:hint="eastAsia" w:ascii="宋体" w:hAnsi="宋体" w:cs="宋体"/>
          <w:kern w:val="0"/>
          <w:sz w:val="24"/>
        </w:rPr>
        <w:t xml:space="preserve">日期： 年 月 日 </w:t>
      </w:r>
    </w:p>
    <w:p w14:paraId="4BF2776C">
      <w:pPr>
        <w:spacing w:line="440" w:lineRule="exact"/>
        <w:jc w:val="left"/>
        <w:outlineLvl w:val="0"/>
        <w:rPr>
          <w:rFonts w:ascii="宋体" w:hAnsi="宋体"/>
          <w:b/>
          <w:sz w:val="28"/>
          <w:szCs w:val="28"/>
        </w:rPr>
      </w:pPr>
      <w:bookmarkStart w:id="38" w:name="_Toc12816"/>
      <w:bookmarkStart w:id="39" w:name="_Toc20616"/>
      <w:r>
        <w:rPr>
          <w:rFonts w:hint="eastAsia" w:ascii="宋体" w:hAnsi="宋体"/>
          <w:b/>
          <w:sz w:val="28"/>
          <w:szCs w:val="28"/>
          <w:lang w:val="en-US" w:eastAsia="zh-CN"/>
        </w:rPr>
        <w:t>六</w:t>
      </w:r>
      <w:r>
        <w:rPr>
          <w:rFonts w:hint="eastAsia" w:ascii="宋体" w:hAnsi="宋体"/>
          <w:b/>
          <w:sz w:val="28"/>
          <w:szCs w:val="28"/>
        </w:rPr>
        <w:t>、项目业绩一览表及证明材料</w:t>
      </w:r>
      <w:bookmarkEnd w:id="38"/>
      <w:bookmarkEnd w:id="39"/>
      <w:r>
        <w:rPr>
          <w:rFonts w:hint="eastAsia" w:ascii="宋体" w:hAnsi="宋体"/>
          <w:b/>
          <w:sz w:val="28"/>
          <w:szCs w:val="28"/>
        </w:rPr>
        <w:t xml:space="preserve">    </w:t>
      </w:r>
    </w:p>
    <w:p w14:paraId="2F66E8AD">
      <w:pPr>
        <w:spacing w:line="440" w:lineRule="exact"/>
        <w:jc w:val="left"/>
        <w:outlineLvl w:val="0"/>
        <w:rPr>
          <w:rFonts w:hint="eastAsia" w:ascii="宋体" w:hAnsi="宋体"/>
          <w:b/>
          <w:sz w:val="28"/>
          <w:szCs w:val="28"/>
        </w:rPr>
      </w:pPr>
      <w:bookmarkStart w:id="40" w:name="_Toc26046"/>
      <w:bookmarkStart w:id="41" w:name="_Toc23932"/>
      <w:r>
        <w:rPr>
          <w:rFonts w:hint="eastAsia" w:ascii="宋体" w:hAnsi="宋体"/>
          <w:b/>
          <w:sz w:val="28"/>
          <w:szCs w:val="28"/>
          <w:lang w:val="en-US" w:eastAsia="zh-CN"/>
        </w:rPr>
        <w:t>七</w:t>
      </w:r>
      <w:r>
        <w:rPr>
          <w:rFonts w:hint="eastAsia" w:ascii="宋体" w:hAnsi="宋体"/>
          <w:b/>
          <w:sz w:val="28"/>
          <w:szCs w:val="28"/>
        </w:rPr>
        <w:t>、项目从业人员及本项目人员配置表</w:t>
      </w:r>
      <w:bookmarkEnd w:id="40"/>
      <w:bookmarkEnd w:id="41"/>
    </w:p>
    <w:p w14:paraId="57E45B6C">
      <w:pPr>
        <w:spacing w:line="440" w:lineRule="exact"/>
        <w:jc w:val="left"/>
        <w:outlineLvl w:val="0"/>
        <w:rPr>
          <w:rFonts w:hint="eastAsia" w:ascii="宋体" w:hAnsi="宋体"/>
          <w:b/>
          <w:sz w:val="28"/>
          <w:szCs w:val="28"/>
        </w:rPr>
      </w:pPr>
      <w:bookmarkStart w:id="42" w:name="_Toc25399"/>
      <w:r>
        <w:rPr>
          <w:rFonts w:hint="eastAsia" w:ascii="宋体" w:hAnsi="宋体"/>
          <w:b/>
          <w:sz w:val="28"/>
          <w:szCs w:val="28"/>
          <w:lang w:val="en-US" w:eastAsia="zh-CN"/>
        </w:rPr>
        <w:t>八</w:t>
      </w:r>
      <w:r>
        <w:rPr>
          <w:rFonts w:hint="eastAsia" w:ascii="宋体" w:hAnsi="宋体"/>
          <w:b/>
          <w:sz w:val="28"/>
          <w:szCs w:val="28"/>
        </w:rPr>
        <w:t>、项目服务方案（根据评分标准内容要求，格式自拟）</w:t>
      </w:r>
      <w:bookmarkEnd w:id="42"/>
    </w:p>
    <w:p w14:paraId="463B3976">
      <w:pPr>
        <w:spacing w:line="440" w:lineRule="exact"/>
        <w:jc w:val="left"/>
        <w:outlineLvl w:val="0"/>
        <w:rPr>
          <w:rFonts w:hint="eastAsia" w:ascii="宋体" w:hAnsi="宋体"/>
          <w:b/>
          <w:sz w:val="28"/>
          <w:szCs w:val="28"/>
        </w:rPr>
      </w:pPr>
      <w:bookmarkStart w:id="43" w:name="_Toc9906"/>
      <w:r>
        <w:rPr>
          <w:rFonts w:hint="eastAsia" w:ascii="宋体" w:hAnsi="宋体"/>
          <w:b/>
          <w:sz w:val="28"/>
          <w:szCs w:val="28"/>
          <w:lang w:val="en-US" w:eastAsia="zh-CN"/>
        </w:rPr>
        <w:t>九</w:t>
      </w:r>
      <w:r>
        <w:rPr>
          <w:rFonts w:hint="eastAsia" w:ascii="宋体" w:hAnsi="宋体"/>
          <w:b/>
          <w:sz w:val="28"/>
          <w:szCs w:val="28"/>
        </w:rPr>
        <w:t>、服务承诺（根据评分标准内容要求，格式自拟）</w:t>
      </w:r>
      <w:bookmarkEnd w:id="43"/>
    </w:p>
    <w:p w14:paraId="24149354">
      <w:pPr>
        <w:spacing w:line="440" w:lineRule="exact"/>
        <w:jc w:val="left"/>
        <w:outlineLvl w:val="0"/>
        <w:rPr>
          <w:rFonts w:hint="eastAsia" w:ascii="宋体" w:hAnsi="宋体"/>
          <w:b/>
          <w:sz w:val="28"/>
          <w:szCs w:val="28"/>
        </w:rPr>
      </w:pPr>
      <w:bookmarkStart w:id="44" w:name="_Toc5450"/>
      <w:bookmarkStart w:id="45" w:name="_Toc22584"/>
      <w:r>
        <w:rPr>
          <w:rFonts w:hint="eastAsia" w:ascii="宋体" w:hAnsi="宋体"/>
          <w:b/>
          <w:sz w:val="28"/>
          <w:szCs w:val="28"/>
        </w:rPr>
        <w:t>十、响应人认为有必要提供的其他材料</w:t>
      </w:r>
      <w:bookmarkEnd w:id="44"/>
      <w:bookmarkEnd w:id="45"/>
    </w:p>
    <w:p w14:paraId="6F28AAA3">
      <w:pPr>
        <w:tabs>
          <w:tab w:val="left" w:pos="2772"/>
        </w:tabs>
        <w:spacing w:line="300" w:lineRule="auto"/>
        <w:jc w:val="center"/>
        <w:rPr>
          <w:rFonts w:ascii="宋体" w:hAnsi="宋体"/>
          <w:sz w:val="24"/>
          <w:szCs w:val="24"/>
        </w:rPr>
      </w:pPr>
    </w:p>
    <w:sectPr>
      <w:pgSz w:w="11906" w:h="16838"/>
      <w:pgMar w:top="1418" w:right="1474" w:bottom="1021" w:left="1588" w:header="851" w:footer="567"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95E1">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BF5E9">
                          <w:pPr>
                            <w:pStyle w:val="21"/>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8BF5E9">
                    <w:pPr>
                      <w:pStyle w:val="21"/>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p w14:paraId="20795F8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9B79">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3F7DD">
                          <w:pPr>
                            <w:pStyle w:val="2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03F7DD">
                    <w:pPr>
                      <w:pStyle w:val="21"/>
                    </w:pPr>
                    <w:r>
                      <w:fldChar w:fldCharType="begin"/>
                    </w:r>
                    <w:r>
                      <w:instrText xml:space="preserve"> PAGE  \* MERGEFORMAT </w:instrText>
                    </w:r>
                    <w:r>
                      <w:fldChar w:fldCharType="separate"/>
                    </w:r>
                    <w:r>
                      <w:t>15</w:t>
                    </w:r>
                    <w:r>
                      <w:fldChar w:fldCharType="end"/>
                    </w:r>
                  </w:p>
                </w:txbxContent>
              </v:textbox>
            </v:shape>
          </w:pict>
        </mc:Fallback>
      </mc:AlternateContent>
    </w:r>
  </w:p>
  <w:p w14:paraId="1D76A204">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54FF">
    <w:pPr>
      <w:pStyle w:val="21"/>
      <w:framePr w:wrap="around" w:vAnchor="text" w:hAnchor="margin" w:xAlign="center" w:y="1"/>
      <w:rPr>
        <w:rStyle w:val="35"/>
      </w:rPr>
    </w:pPr>
    <w:r>
      <w:fldChar w:fldCharType="begin"/>
    </w:r>
    <w:r>
      <w:rPr>
        <w:rStyle w:val="35"/>
      </w:rPr>
      <w:instrText xml:space="preserve">PAGE  </w:instrText>
    </w:r>
    <w:r>
      <w:fldChar w:fldCharType="end"/>
    </w:r>
  </w:p>
  <w:p w14:paraId="126EC797">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16AD">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7D93E">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27D93E">
                    <w:pPr>
                      <w:pStyle w:val="21"/>
                    </w:pPr>
                    <w:r>
                      <w:fldChar w:fldCharType="begin"/>
                    </w:r>
                    <w:r>
                      <w:instrText xml:space="preserve"> PAGE  \* MERGEFORMAT </w:instrText>
                    </w:r>
                    <w:r>
                      <w:fldChar w:fldCharType="separate"/>
                    </w:r>
                    <w:r>
                      <w:t>14</w:t>
                    </w:r>
                    <w:r>
                      <w:fldChar w:fldCharType="end"/>
                    </w:r>
                  </w:p>
                </w:txbxContent>
              </v:textbox>
            </v:shape>
          </w:pict>
        </mc:Fallback>
      </mc:AlternateContent>
    </w:r>
  </w:p>
  <w:p w14:paraId="2D9FA0D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0B64">
    <w:pPr>
      <w:pStyle w:val="22"/>
      <w:rPr>
        <w:rFonts w:hint="eastAsia" w:eastAsia="宋体"/>
        <w:lang w:eastAsia="zh-CN"/>
      </w:rPr>
    </w:pPr>
    <w:r>
      <w:rPr>
        <w:rFonts w:hint="eastAsia"/>
        <w:lang w:eastAsia="zh-CN"/>
      </w:rPr>
      <w:t>扬州市第三人民医院</w:t>
    </w:r>
  </w:p>
  <w:p w14:paraId="3138C53F">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DAC4">
    <w:pPr>
      <w:pStyle w:val="22"/>
      <w:rPr>
        <w:rFonts w:hint="eastAsia" w:eastAsia="宋体"/>
        <w:lang w:eastAsia="zh-CN"/>
      </w:rPr>
    </w:pPr>
    <w:r>
      <w:rPr>
        <w:rFonts w:hint="eastAsia"/>
        <w:lang w:eastAsia="zh-CN"/>
      </w:rPr>
      <w:t>扬州市第三人民医院</w:t>
    </w:r>
  </w:p>
  <w:p w14:paraId="434686DB">
    <w:pPr>
      <w:pStyle w:val="22"/>
      <w:jc w:val="lef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C1CD">
    <w:pPr>
      <w:pStyle w:val="22"/>
      <w:rPr>
        <w:lang w:val="zh-CN"/>
      </w:rPr>
    </w:pPr>
    <w:r>
      <w:rPr>
        <w:lang w:val="zh-CN"/>
      </w:rPr>
      <w:t>[</w:t>
    </w:r>
    <w:r>
      <w:rPr>
        <w:rFonts w:hint="eastAsia"/>
        <w:lang w:val="zh-CN"/>
      </w:rPr>
      <w:t>扬州市第三人民医院</w:t>
    </w:r>
    <w:r>
      <w:rPr>
        <w:lang w:val="zh-CN"/>
      </w:rPr>
      <w:t>]</w:t>
    </w:r>
  </w:p>
  <w:p w14:paraId="3B40041F">
    <w:pPr>
      <w:pStyle w:val="22"/>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12966"/>
    <w:multiLevelType w:val="singleLevel"/>
    <w:tmpl w:val="C13129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742E2"/>
    <w:rsid w:val="150C41F8"/>
    <w:rsid w:val="1A7D6524"/>
    <w:rsid w:val="2E921A64"/>
    <w:rsid w:val="36345D8E"/>
    <w:rsid w:val="3F197786"/>
    <w:rsid w:val="482E308C"/>
    <w:rsid w:val="4C403631"/>
    <w:rsid w:val="4ECF67CA"/>
    <w:rsid w:val="58672599"/>
    <w:rsid w:val="5B3F1E99"/>
    <w:rsid w:val="5C3C2E5E"/>
    <w:rsid w:val="6249622F"/>
    <w:rsid w:val="72A34D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3"/>
    <w:qFormat/>
    <w:uiPriority w:val="0"/>
    <w:pPr>
      <w:keepNext/>
      <w:keepLines/>
      <w:spacing w:before="260" w:after="260" w:line="416" w:lineRule="auto"/>
      <w:outlineLvl w:val="2"/>
    </w:pPr>
    <w:rPr>
      <w:rFonts w:ascii="Times New Roman" w:hAnsi="Times New Roman" w:eastAsia="黑体" w:cs="Times New Roman"/>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5"/>
    <w:qFormat/>
    <w:uiPriority w:val="0"/>
    <w:pPr>
      <w:keepNext/>
      <w:keepLines/>
      <w:spacing w:before="280" w:after="290" w:line="376" w:lineRule="auto"/>
      <w:outlineLvl w:val="4"/>
    </w:pPr>
    <w:rPr>
      <w:rFonts w:ascii="Times New Roman" w:hAnsi="Times New Roman" w:eastAsia="黑体" w:cs="Times New Roman"/>
      <w:b/>
      <w:bCs/>
      <w:sz w:val="28"/>
      <w:szCs w:val="28"/>
    </w:rPr>
  </w:style>
  <w:style w:type="paragraph" w:styleId="7">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10">
    <w:name w:val="Normal Indent"/>
    <w:basedOn w:val="1"/>
    <w:qFormat/>
    <w:uiPriority w:val="0"/>
    <w:pPr>
      <w:spacing w:after="120"/>
      <w:ind w:firstLine="420"/>
    </w:pPr>
    <w:rPr>
      <w:rFonts w:ascii="Times New Roman" w:hAnsi="Times New Roman" w:eastAsia="宋体" w:cs="Times New Roman"/>
      <w:szCs w:val="20"/>
    </w:rPr>
  </w:style>
  <w:style w:type="paragraph" w:styleId="11">
    <w:name w:val="Document Map"/>
    <w:basedOn w:val="1"/>
    <w:link w:val="49"/>
    <w:semiHidden/>
    <w:qFormat/>
    <w:uiPriority w:val="0"/>
    <w:pPr>
      <w:shd w:val="clear" w:color="auto" w:fill="000080"/>
    </w:pPr>
    <w:rPr>
      <w:rFonts w:ascii="Times New Roman" w:hAnsi="Times New Roman" w:eastAsia="宋体" w:cs="Times New Roman"/>
      <w:szCs w:val="24"/>
    </w:rPr>
  </w:style>
  <w:style w:type="paragraph" w:styleId="12">
    <w:name w:val="annotation text"/>
    <w:basedOn w:val="1"/>
    <w:link w:val="50"/>
    <w:unhideWhenUsed/>
    <w:qFormat/>
    <w:uiPriority w:val="99"/>
    <w:pPr>
      <w:jc w:val="left"/>
    </w:pPr>
  </w:style>
  <w:style w:type="paragraph" w:styleId="13">
    <w:name w:val="Body Text"/>
    <w:basedOn w:val="1"/>
    <w:next w:val="14"/>
    <w:link w:val="51"/>
    <w:unhideWhenUsed/>
    <w:qFormat/>
    <w:uiPriority w:val="0"/>
    <w:pPr>
      <w:spacing w:after="120"/>
    </w:pPr>
  </w:style>
  <w:style w:type="paragraph" w:styleId="14">
    <w:name w:val="toc 5"/>
    <w:basedOn w:val="1"/>
    <w:next w:val="1"/>
    <w:qFormat/>
    <w:uiPriority w:val="39"/>
    <w:pPr>
      <w:widowControl w:val="0"/>
      <w:ind w:left="1680"/>
      <w:jc w:val="both"/>
    </w:pPr>
    <w:rPr>
      <w:kern w:val="2"/>
    </w:rPr>
  </w:style>
  <w:style w:type="paragraph" w:styleId="15">
    <w:name w:val="Body Text Indent"/>
    <w:basedOn w:val="1"/>
    <w:link w:val="52"/>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3"/>
    <w:qFormat/>
    <w:uiPriority w:val="0"/>
    <w:rPr>
      <w:rFonts w:ascii="宋体" w:hAnsi="Courier New" w:eastAsia="宋体" w:cs="Times New Roman"/>
      <w:szCs w:val="21"/>
    </w:rPr>
  </w:style>
  <w:style w:type="paragraph" w:styleId="18">
    <w:name w:val="Date"/>
    <w:basedOn w:val="1"/>
    <w:next w:val="1"/>
    <w:link w:val="54"/>
    <w:qFormat/>
    <w:uiPriority w:val="0"/>
    <w:pPr>
      <w:ind w:left="100" w:leftChars="2500"/>
    </w:pPr>
    <w:rPr>
      <w:rFonts w:ascii="Times New Roman" w:hAnsi="Times New Roman" w:eastAsia="宋体" w:cs="Times New Roman"/>
      <w:szCs w:val="24"/>
    </w:rPr>
  </w:style>
  <w:style w:type="paragraph" w:styleId="19">
    <w:name w:val="Body Text Indent 2"/>
    <w:basedOn w:val="1"/>
    <w:link w:val="55"/>
    <w:qFormat/>
    <w:uiPriority w:val="0"/>
    <w:pPr>
      <w:spacing w:line="540" w:lineRule="exact"/>
      <w:ind w:firstLine="720" w:firstLineChars="225"/>
      <w:jc w:val="left"/>
    </w:pPr>
    <w:rPr>
      <w:rFonts w:ascii="仿宋_GB2312" w:hAnsi="Times New Roman" w:eastAsia="仿宋_GB2312" w:cs="Times New Roman"/>
      <w:sz w:val="32"/>
      <w:szCs w:val="24"/>
    </w:rPr>
  </w:style>
  <w:style w:type="paragraph" w:styleId="20">
    <w:name w:val="Balloon Text"/>
    <w:basedOn w:val="1"/>
    <w:link w:val="56"/>
    <w:semiHidden/>
    <w:qFormat/>
    <w:uiPriority w:val="0"/>
    <w:rPr>
      <w:rFonts w:ascii="Times New Roman" w:hAnsi="Times New Roman" w:eastAsia="宋体" w:cs="Times New Roman"/>
      <w:sz w:val="18"/>
      <w:szCs w:val="18"/>
    </w:rPr>
  </w:style>
  <w:style w:type="paragraph" w:styleId="21">
    <w:name w:val="footer"/>
    <w:basedOn w:val="1"/>
    <w:link w:val="57"/>
    <w:unhideWhenUsed/>
    <w:qFormat/>
    <w:uiPriority w:val="99"/>
    <w:pPr>
      <w:tabs>
        <w:tab w:val="center" w:pos="4153"/>
        <w:tab w:val="right" w:pos="8306"/>
      </w:tabs>
      <w:snapToGrid w:val="0"/>
      <w:jc w:val="left"/>
    </w:pPr>
    <w:rPr>
      <w:sz w:val="18"/>
      <w:szCs w:val="18"/>
    </w:rPr>
  </w:style>
  <w:style w:type="paragraph" w:styleId="22">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Body Text Indent 3"/>
    <w:basedOn w:val="1"/>
    <w:link w:val="59"/>
    <w:qFormat/>
    <w:uiPriority w:val="0"/>
    <w:pPr>
      <w:ind w:firstLine="639" w:firstLineChars="213"/>
    </w:pPr>
    <w:rPr>
      <w:rFonts w:ascii="仿宋_GB2312" w:hAnsi="Times New Roman" w:eastAsia="仿宋_GB2312" w:cs="Times New Roman"/>
      <w:sz w:val="30"/>
      <w:szCs w:val="24"/>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Body Text 2"/>
    <w:basedOn w:val="1"/>
    <w:link w:val="60"/>
    <w:qFormat/>
    <w:uiPriority w:val="0"/>
    <w:pPr>
      <w:spacing w:line="560" w:lineRule="exact"/>
    </w:pPr>
    <w:rPr>
      <w:rFonts w:ascii="仿宋_GB2312" w:hAnsi="Times New Roman" w:eastAsia="仿宋_GB2312" w:cs="Times New Roman"/>
      <w:sz w:val="30"/>
      <w:szCs w:val="24"/>
    </w:rPr>
  </w:style>
  <w:style w:type="paragraph" w:styleId="27">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kern w:val="0"/>
      <w:szCs w:val="21"/>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12"/>
    <w:next w:val="12"/>
    <w:link w:val="62"/>
    <w:semiHidden/>
    <w:qFormat/>
    <w:uiPriority w:val="0"/>
    <w:rPr>
      <w:rFonts w:ascii="Times New Roman" w:hAnsi="Times New Roman" w:eastAsia="宋体" w:cs="Times New Roman"/>
      <w:b/>
      <w:bCs/>
      <w:szCs w:val="24"/>
    </w:rPr>
  </w:style>
  <w:style w:type="paragraph" w:styleId="30">
    <w:name w:val="Body Text First Indent"/>
    <w:basedOn w:val="13"/>
    <w:link w:val="63"/>
    <w:qFormat/>
    <w:uiPriority w:val="0"/>
    <w:pPr>
      <w:ind w:firstLine="420" w:firstLineChars="100"/>
    </w:pPr>
    <w:rPr>
      <w:rFonts w:ascii="Times New Roman" w:hAnsi="Times New Roman" w:eastAsia="宋体" w:cs="Times New Roman"/>
      <w:szCs w:val="24"/>
    </w:rPr>
  </w:style>
  <w:style w:type="table" w:styleId="32">
    <w:name w:val="Table Grid"/>
    <w:basedOn w:val="3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99"/>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paragraph" w:customStyle="1" w:styleId="39">
    <w:name w:val="Default"/>
    <w:link w:val="40"/>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character" w:customStyle="1" w:styleId="40">
    <w:name w:val="Default Char"/>
    <w:link w:val="39"/>
    <w:qFormat/>
    <w:uiPriority w:val="0"/>
    <w:rPr>
      <w:rFonts w:ascii="宋体" w:cs="宋体"/>
      <w:color w:val="000000"/>
      <w:kern w:val="2"/>
      <w:sz w:val="24"/>
      <w:szCs w:val="24"/>
      <w:lang w:val="en-US" w:eastAsia="zh-CN" w:bidi="ar-SA"/>
    </w:rPr>
  </w:style>
  <w:style w:type="character" w:customStyle="1" w:styleId="41">
    <w:name w:val="标题 1 Char"/>
    <w:basedOn w:val="33"/>
    <w:link w:val="2"/>
    <w:qFormat/>
    <w:uiPriority w:val="0"/>
    <w:rPr>
      <w:rFonts w:ascii="Times New Roman" w:hAnsi="Times New Roman" w:eastAsia="宋体" w:cs="Times New Roman"/>
      <w:b/>
      <w:bCs/>
      <w:kern w:val="44"/>
      <w:sz w:val="44"/>
      <w:szCs w:val="44"/>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黑体" w:cs="Times New Roman"/>
      <w:b/>
      <w:bCs/>
      <w:sz w:val="32"/>
      <w:szCs w:val="32"/>
    </w:rPr>
  </w:style>
  <w:style w:type="character" w:customStyle="1" w:styleId="44">
    <w:name w:val="标题 4 Char"/>
    <w:basedOn w:val="33"/>
    <w:link w:val="5"/>
    <w:qFormat/>
    <w:uiPriority w:val="0"/>
    <w:rPr>
      <w:rFonts w:ascii="Arial" w:hAnsi="Arial" w:eastAsia="黑体" w:cs="Times New Roman"/>
      <w:b/>
      <w:bCs/>
      <w:sz w:val="28"/>
      <w:szCs w:val="28"/>
    </w:rPr>
  </w:style>
  <w:style w:type="character" w:customStyle="1" w:styleId="45">
    <w:name w:val="标题 5 Char"/>
    <w:basedOn w:val="33"/>
    <w:link w:val="6"/>
    <w:qFormat/>
    <w:uiPriority w:val="0"/>
    <w:rPr>
      <w:rFonts w:ascii="Times New Roman" w:hAnsi="Times New Roman" w:eastAsia="黑体" w:cs="Times New Roman"/>
      <w:b/>
      <w:bCs/>
      <w:sz w:val="28"/>
      <w:szCs w:val="28"/>
    </w:rPr>
  </w:style>
  <w:style w:type="character" w:customStyle="1" w:styleId="46">
    <w:name w:val="标题 6 Char"/>
    <w:basedOn w:val="33"/>
    <w:link w:val="7"/>
    <w:qFormat/>
    <w:uiPriority w:val="0"/>
    <w:rPr>
      <w:rFonts w:ascii="Arial" w:hAnsi="Arial" w:eastAsia="黑体" w:cs="Times New Roman"/>
      <w:b/>
      <w:bCs/>
      <w:sz w:val="24"/>
      <w:szCs w:val="24"/>
    </w:rPr>
  </w:style>
  <w:style w:type="character" w:customStyle="1" w:styleId="47">
    <w:name w:val="标题 7 Char"/>
    <w:basedOn w:val="33"/>
    <w:link w:val="8"/>
    <w:qFormat/>
    <w:uiPriority w:val="0"/>
    <w:rPr>
      <w:rFonts w:ascii="Times New Roman" w:hAnsi="Times New Roman" w:eastAsia="宋体" w:cs="Times New Roman"/>
      <w:b/>
      <w:bCs/>
      <w:sz w:val="24"/>
      <w:szCs w:val="24"/>
    </w:rPr>
  </w:style>
  <w:style w:type="character" w:customStyle="1" w:styleId="48">
    <w:name w:val="标题 8 Char"/>
    <w:basedOn w:val="33"/>
    <w:link w:val="9"/>
    <w:qFormat/>
    <w:uiPriority w:val="0"/>
    <w:rPr>
      <w:rFonts w:ascii="Arial" w:hAnsi="Arial" w:eastAsia="黑体" w:cs="Times New Roman"/>
      <w:sz w:val="24"/>
      <w:szCs w:val="24"/>
    </w:rPr>
  </w:style>
  <w:style w:type="character" w:customStyle="1" w:styleId="49">
    <w:name w:val="文档结构图 Char"/>
    <w:basedOn w:val="33"/>
    <w:link w:val="11"/>
    <w:semiHidden/>
    <w:qFormat/>
    <w:uiPriority w:val="0"/>
    <w:rPr>
      <w:rFonts w:ascii="Times New Roman" w:hAnsi="Times New Roman" w:eastAsia="宋体" w:cs="Times New Roman"/>
      <w:szCs w:val="24"/>
      <w:shd w:val="clear" w:color="auto" w:fill="000080"/>
    </w:rPr>
  </w:style>
  <w:style w:type="character" w:customStyle="1" w:styleId="50">
    <w:name w:val="批注文字 Char"/>
    <w:basedOn w:val="33"/>
    <w:link w:val="12"/>
    <w:semiHidden/>
    <w:qFormat/>
    <w:uiPriority w:val="99"/>
  </w:style>
  <w:style w:type="character" w:customStyle="1" w:styleId="51">
    <w:name w:val="正文文本 Char"/>
    <w:basedOn w:val="33"/>
    <w:link w:val="13"/>
    <w:semiHidden/>
    <w:qFormat/>
    <w:uiPriority w:val="99"/>
  </w:style>
  <w:style w:type="character" w:customStyle="1" w:styleId="52">
    <w:name w:val="正文文本缩进 Char"/>
    <w:link w:val="15"/>
    <w:qFormat/>
    <w:uiPriority w:val="0"/>
    <w:rPr>
      <w:rFonts w:ascii="仿宋_GB2312" w:eastAsia="仿宋_GB2312"/>
      <w:sz w:val="32"/>
      <w:szCs w:val="24"/>
    </w:rPr>
  </w:style>
  <w:style w:type="character" w:customStyle="1" w:styleId="53">
    <w:name w:val="纯文本 Char"/>
    <w:basedOn w:val="33"/>
    <w:link w:val="17"/>
    <w:qFormat/>
    <w:uiPriority w:val="0"/>
    <w:rPr>
      <w:rFonts w:ascii="宋体" w:hAnsi="Courier New" w:eastAsia="宋体" w:cs="Times New Roman"/>
      <w:szCs w:val="21"/>
    </w:rPr>
  </w:style>
  <w:style w:type="character" w:customStyle="1" w:styleId="54">
    <w:name w:val="日期 Char"/>
    <w:basedOn w:val="33"/>
    <w:link w:val="18"/>
    <w:qFormat/>
    <w:uiPriority w:val="0"/>
    <w:rPr>
      <w:rFonts w:ascii="Times New Roman" w:hAnsi="Times New Roman" w:eastAsia="宋体" w:cs="Times New Roman"/>
      <w:szCs w:val="24"/>
    </w:rPr>
  </w:style>
  <w:style w:type="character" w:customStyle="1" w:styleId="55">
    <w:name w:val="正文文本缩进 2 Char"/>
    <w:basedOn w:val="33"/>
    <w:link w:val="19"/>
    <w:qFormat/>
    <w:uiPriority w:val="0"/>
    <w:rPr>
      <w:rFonts w:ascii="仿宋_GB2312" w:hAnsi="Times New Roman" w:eastAsia="仿宋_GB2312" w:cs="Times New Roman"/>
      <w:sz w:val="32"/>
      <w:szCs w:val="24"/>
    </w:rPr>
  </w:style>
  <w:style w:type="character" w:customStyle="1" w:styleId="56">
    <w:name w:val="批注框文本 Char"/>
    <w:basedOn w:val="33"/>
    <w:link w:val="20"/>
    <w:semiHidden/>
    <w:qFormat/>
    <w:uiPriority w:val="0"/>
    <w:rPr>
      <w:rFonts w:ascii="Times New Roman" w:hAnsi="Times New Roman" w:eastAsia="宋体" w:cs="Times New Roman"/>
      <w:sz w:val="18"/>
      <w:szCs w:val="18"/>
    </w:rPr>
  </w:style>
  <w:style w:type="character" w:customStyle="1" w:styleId="57">
    <w:name w:val="页脚 Char"/>
    <w:basedOn w:val="33"/>
    <w:link w:val="21"/>
    <w:qFormat/>
    <w:uiPriority w:val="99"/>
    <w:rPr>
      <w:sz w:val="18"/>
      <w:szCs w:val="18"/>
    </w:rPr>
  </w:style>
  <w:style w:type="character" w:customStyle="1" w:styleId="58">
    <w:name w:val="页眉 Char"/>
    <w:basedOn w:val="33"/>
    <w:link w:val="22"/>
    <w:qFormat/>
    <w:uiPriority w:val="99"/>
    <w:rPr>
      <w:sz w:val="18"/>
      <w:szCs w:val="18"/>
    </w:rPr>
  </w:style>
  <w:style w:type="character" w:customStyle="1" w:styleId="59">
    <w:name w:val="正文文本缩进 3 Char"/>
    <w:basedOn w:val="33"/>
    <w:link w:val="24"/>
    <w:qFormat/>
    <w:uiPriority w:val="0"/>
    <w:rPr>
      <w:rFonts w:ascii="仿宋_GB2312" w:hAnsi="Times New Roman" w:eastAsia="仿宋_GB2312" w:cs="Times New Roman"/>
      <w:sz w:val="30"/>
      <w:szCs w:val="24"/>
    </w:rPr>
  </w:style>
  <w:style w:type="character" w:customStyle="1" w:styleId="60">
    <w:name w:val="正文文本 2 Char"/>
    <w:basedOn w:val="33"/>
    <w:link w:val="26"/>
    <w:qFormat/>
    <w:uiPriority w:val="0"/>
    <w:rPr>
      <w:rFonts w:ascii="仿宋_GB2312" w:hAnsi="Times New Roman" w:eastAsia="仿宋_GB2312" w:cs="Times New Roman"/>
      <w:sz w:val="30"/>
      <w:szCs w:val="24"/>
    </w:rPr>
  </w:style>
  <w:style w:type="character" w:customStyle="1" w:styleId="61">
    <w:name w:val="HTML 预设格式 Char"/>
    <w:basedOn w:val="33"/>
    <w:link w:val="27"/>
    <w:qFormat/>
    <w:uiPriority w:val="0"/>
    <w:rPr>
      <w:rFonts w:ascii="宋体" w:hAnsi="宋体" w:eastAsia="宋体" w:cs="宋体"/>
      <w:color w:val="000000"/>
      <w:kern w:val="0"/>
      <w:szCs w:val="21"/>
    </w:rPr>
  </w:style>
  <w:style w:type="character" w:customStyle="1" w:styleId="62">
    <w:name w:val="批注主题 Char"/>
    <w:basedOn w:val="50"/>
    <w:link w:val="29"/>
    <w:semiHidden/>
    <w:qFormat/>
    <w:uiPriority w:val="0"/>
    <w:rPr>
      <w:rFonts w:ascii="Times New Roman" w:hAnsi="Times New Roman" w:eastAsia="宋体" w:cs="Times New Roman"/>
      <w:b/>
      <w:bCs/>
      <w:szCs w:val="24"/>
    </w:rPr>
  </w:style>
  <w:style w:type="character" w:customStyle="1" w:styleId="63">
    <w:name w:val="正文首行缩进 Char"/>
    <w:basedOn w:val="51"/>
    <w:link w:val="30"/>
    <w:qFormat/>
    <w:uiPriority w:val="0"/>
    <w:rPr>
      <w:rFonts w:ascii="Times New Roman" w:hAnsi="Times New Roman" w:eastAsia="宋体" w:cs="Times New Roman"/>
      <w:szCs w:val="24"/>
    </w:rPr>
  </w:style>
  <w:style w:type="paragraph" w:customStyle="1" w:styleId="64">
    <w:name w:val="List Paragraph"/>
    <w:basedOn w:val="1"/>
    <w:qFormat/>
    <w:uiPriority w:val="34"/>
    <w:pPr>
      <w:ind w:firstLine="420" w:firstLineChars="200"/>
    </w:pPr>
    <w:rPr>
      <w:rFonts w:ascii="Calibri" w:hAnsi="Calibri" w:eastAsia="宋体" w:cs="Times New Roman"/>
    </w:rPr>
  </w:style>
  <w:style w:type="character" w:customStyle="1" w:styleId="65">
    <w:name w:val="标题 2 Char_0"/>
    <w:link w:val="66"/>
    <w:semiHidden/>
    <w:qFormat/>
    <w:uiPriority w:val="0"/>
    <w:rPr>
      <w:rFonts w:ascii="Arial" w:hAnsi="Arial" w:eastAsia="黑体" w:cs="Times New Roman"/>
      <w:b/>
      <w:bCs/>
      <w:kern w:val="0"/>
      <w:sz w:val="32"/>
      <w:szCs w:val="32"/>
    </w:rPr>
  </w:style>
  <w:style w:type="paragraph" w:customStyle="1" w:styleId="66">
    <w:name w:val="标题 2_0"/>
    <w:basedOn w:val="67"/>
    <w:next w:val="67"/>
    <w:link w:val="65"/>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67">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style3"/>
    <w:basedOn w:val="33"/>
    <w:qFormat/>
    <w:uiPriority w:val="0"/>
  </w:style>
  <w:style w:type="character" w:customStyle="1" w:styleId="69">
    <w:name w:val="Char Char2"/>
    <w:qFormat/>
    <w:uiPriority w:val="0"/>
    <w:rPr>
      <w:kern w:val="2"/>
      <w:sz w:val="18"/>
      <w:szCs w:val="18"/>
    </w:rPr>
  </w:style>
  <w:style w:type="character" w:customStyle="1" w:styleId="70">
    <w:name w:val="正文文本缩进 Char1"/>
    <w:basedOn w:val="33"/>
    <w:semiHidden/>
    <w:qFormat/>
    <w:uiPriority w:val="99"/>
  </w:style>
  <w:style w:type="character" w:customStyle="1" w:styleId="71">
    <w:name w:val="Footer Char1"/>
    <w:qFormat/>
    <w:uiPriority w:val="0"/>
    <w:rPr>
      <w:rFonts w:cs="Times New Roman"/>
      <w:sz w:val="18"/>
      <w:szCs w:val="18"/>
      <w:lang w:bidi="ar-SA"/>
    </w:rPr>
  </w:style>
  <w:style w:type="character" w:customStyle="1" w:styleId="72">
    <w:name w:val="纯文本 Char_0_0"/>
    <w:link w:val="73"/>
    <w:qFormat/>
    <w:uiPriority w:val="0"/>
    <w:rPr>
      <w:rFonts w:ascii="宋体" w:hAnsi="Courier New" w:eastAsia="宋体" w:cs="Times New Roman"/>
      <w:kern w:val="0"/>
      <w:sz w:val="20"/>
      <w:szCs w:val="21"/>
    </w:rPr>
  </w:style>
  <w:style w:type="paragraph" w:customStyle="1" w:styleId="73">
    <w:name w:val="纯文本_0_0"/>
    <w:basedOn w:val="74"/>
    <w:link w:val="72"/>
    <w:unhideWhenUsed/>
    <w:qFormat/>
    <w:uiPriority w:val="0"/>
    <w:rPr>
      <w:rFonts w:ascii="宋体" w:hAnsi="Courier New"/>
      <w:kern w:val="0"/>
      <w:sz w:val="20"/>
      <w:szCs w:val="21"/>
    </w:rPr>
  </w:style>
  <w:style w:type="paragraph" w:customStyle="1" w:styleId="74">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EmailStyle88"/>
    <w:qFormat/>
    <w:uiPriority w:val="0"/>
    <w:rPr>
      <w:rFonts w:ascii="Arial" w:hAnsi="Arial" w:eastAsia="宋体" w:cs="Arial"/>
      <w:color w:val="auto"/>
      <w:sz w:val="20"/>
    </w:rPr>
  </w:style>
  <w:style w:type="character" w:customStyle="1" w:styleId="76">
    <w:name w:val="grame"/>
    <w:basedOn w:val="33"/>
    <w:qFormat/>
    <w:uiPriority w:val="0"/>
  </w:style>
  <w:style w:type="character" w:customStyle="1" w:styleId="77">
    <w:name w:val="Heading 4 Char"/>
    <w:qFormat/>
    <w:uiPriority w:val="0"/>
    <w:rPr>
      <w:rFonts w:ascii="Cambria" w:hAnsi="Cambria" w:eastAsia="宋体" w:cs="Cambria"/>
      <w:b/>
      <w:bCs/>
      <w:sz w:val="28"/>
      <w:szCs w:val="28"/>
      <w:lang w:bidi="ar-SA"/>
    </w:rPr>
  </w:style>
  <w:style w:type="character" w:customStyle="1" w:styleId="78">
    <w:name w:val="标题 2 Char_0_0"/>
    <w:link w:val="79"/>
    <w:qFormat/>
    <w:uiPriority w:val="1"/>
    <w:rPr>
      <w:rFonts w:ascii="黑体" w:hAnsi="黑体" w:eastAsia="黑体" w:cs="Times New Roman"/>
      <w:b/>
      <w:bCs/>
      <w:kern w:val="0"/>
      <w:sz w:val="32"/>
      <w:szCs w:val="32"/>
      <w:lang w:eastAsia="en-US"/>
    </w:rPr>
  </w:style>
  <w:style w:type="paragraph" w:customStyle="1" w:styleId="79">
    <w:name w:val="Heading 2"/>
    <w:basedOn w:val="80"/>
    <w:next w:val="80"/>
    <w:link w:val="78"/>
    <w:qFormat/>
    <w:uiPriority w:val="1"/>
    <w:pPr>
      <w:spacing w:before="5"/>
      <w:ind w:left="109"/>
      <w:jc w:val="left"/>
      <w:outlineLvl w:val="1"/>
    </w:pPr>
    <w:rPr>
      <w:rFonts w:ascii="黑体" w:hAnsi="黑体" w:eastAsia="黑体"/>
      <w:b/>
      <w:bCs/>
      <w:sz w:val="32"/>
      <w:szCs w:val="32"/>
      <w:lang w:eastAsia="en-US"/>
    </w:rPr>
  </w:style>
  <w:style w:type="paragraph" w:customStyle="1" w:styleId="80">
    <w:name w:val="正文1"/>
    <w:qFormat/>
    <w:uiPriority w:val="0"/>
    <w:pPr>
      <w:widowControl w:val="0"/>
      <w:jc w:val="both"/>
    </w:pPr>
    <w:rPr>
      <w:rFonts w:ascii="Times New Roman" w:hAnsi="Times New Roman" w:eastAsia="宋体" w:cs="Times New Roman"/>
      <w:lang w:val="en-US" w:eastAsia="zh-CN" w:bidi="ar-SA"/>
    </w:rPr>
  </w:style>
  <w:style w:type="character" w:customStyle="1" w:styleId="81">
    <w:name w:val="正文缩进 Char1_0_0"/>
    <w:link w:val="82"/>
    <w:qFormat/>
    <w:locked/>
    <w:uiPriority w:val="0"/>
    <w:rPr>
      <w:rFonts w:ascii="Times New Roman" w:hAnsi="Times New Roman" w:eastAsia="宋体" w:cs="Times New Roman"/>
      <w:kern w:val="0"/>
      <w:sz w:val="20"/>
      <w:szCs w:val="20"/>
    </w:rPr>
  </w:style>
  <w:style w:type="paragraph" w:customStyle="1" w:styleId="82">
    <w:name w:val="正文缩进_0_0"/>
    <w:basedOn w:val="74"/>
    <w:link w:val="81"/>
    <w:unhideWhenUsed/>
    <w:qFormat/>
    <w:uiPriority w:val="0"/>
    <w:pPr>
      <w:ind w:firstLine="420" w:firstLineChars="200"/>
    </w:pPr>
    <w:rPr>
      <w:kern w:val="0"/>
      <w:sz w:val="20"/>
      <w:szCs w:val="20"/>
    </w:rPr>
  </w:style>
  <w:style w:type="character" w:customStyle="1" w:styleId="83">
    <w:name w:val="ca-18"/>
    <w:basedOn w:val="33"/>
    <w:qFormat/>
    <w:uiPriority w:val="0"/>
  </w:style>
  <w:style w:type="paragraph" w:customStyle="1" w:styleId="84">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Char Char Char Char Char Char Char Char Char Char"/>
    <w:basedOn w:val="1"/>
    <w:qFormat/>
    <w:uiPriority w:val="0"/>
    <w:rPr>
      <w:rFonts w:ascii="Tahoma" w:hAnsi="Tahoma" w:eastAsia="宋体" w:cs="Times New Roman"/>
      <w:sz w:val="24"/>
      <w:szCs w:val="20"/>
    </w:rPr>
  </w:style>
  <w:style w:type="paragraph" w:customStyle="1" w:styleId="86">
    <w:name w:val="xl34"/>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87">
    <w:name w:val="Char1"/>
    <w:basedOn w:val="1"/>
    <w:qFormat/>
    <w:uiPriority w:val="0"/>
    <w:pPr>
      <w:tabs>
        <w:tab w:val="left" w:pos="360"/>
      </w:tabs>
      <w:spacing w:line="480" w:lineRule="auto"/>
      <w:ind w:left="360" w:right="202" w:firstLine="360"/>
    </w:pPr>
    <w:rPr>
      <w:rFonts w:ascii="Times New Roman" w:hAnsi="Times New Roman" w:eastAsia="宋体" w:cs="Times New Roman"/>
      <w:sz w:val="24"/>
      <w:szCs w:val="24"/>
    </w:rPr>
  </w:style>
  <w:style w:type="paragraph" w:customStyle="1" w:styleId="88">
    <w:name w:val="Char Char Char"/>
    <w:basedOn w:val="1"/>
    <w:qFormat/>
    <w:uiPriority w:val="0"/>
    <w:rPr>
      <w:rFonts w:ascii="Tahoma" w:hAnsi="Tahoma" w:eastAsia="宋体" w:cs="Times New Roman"/>
      <w:sz w:val="24"/>
      <w:szCs w:val="20"/>
    </w:rPr>
  </w:style>
  <w:style w:type="paragraph" w:customStyle="1" w:styleId="8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Char11"/>
    <w:basedOn w:val="1"/>
    <w:qFormat/>
    <w:uiPriority w:val="0"/>
    <w:rPr>
      <w:rFonts w:ascii="Tahoma" w:hAnsi="Tahoma" w:eastAsia="宋体" w:cs="Times New Roman"/>
      <w:sz w:val="24"/>
      <w:szCs w:val="20"/>
    </w:rPr>
  </w:style>
  <w:style w:type="paragraph" w:customStyle="1" w:styleId="91">
    <w:name w:val="小条"/>
    <w:basedOn w:val="1"/>
    <w:qFormat/>
    <w:uiPriority w:val="0"/>
    <w:pPr>
      <w:spacing w:before="60" w:line="360" w:lineRule="exact"/>
    </w:pPr>
    <w:rPr>
      <w:rFonts w:ascii="黑体" w:hAnsi="Times New Roman" w:eastAsia="宋体" w:cs="Times New Roman"/>
      <w:szCs w:val="20"/>
    </w:rPr>
  </w:style>
  <w:style w:type="paragraph" w:customStyle="1" w:styleId="92">
    <w:name w:val="普通正文"/>
    <w:basedOn w:val="1"/>
    <w:qFormat/>
    <w:uiPriority w:val="0"/>
    <w:pPr>
      <w:adjustRightInd w:val="0"/>
      <w:ind w:firstLine="425"/>
      <w:jc w:val="left"/>
      <w:textAlignment w:val="baseline"/>
    </w:pPr>
    <w:rPr>
      <w:rFonts w:ascii="宋体" w:hAnsi="Times New Roman" w:eastAsia="宋体" w:cs="Times New Roman"/>
      <w:kern w:val="0"/>
      <w:sz w:val="20"/>
      <w:szCs w:val="24"/>
    </w:rPr>
  </w:style>
  <w:style w:type="paragraph" w:customStyle="1" w:styleId="93">
    <w:name w:val="特点"/>
    <w:basedOn w:val="1"/>
    <w:qFormat/>
    <w:uiPriority w:val="0"/>
    <w:pPr>
      <w:spacing w:line="360" w:lineRule="auto"/>
      <w:jc w:val="center"/>
    </w:pPr>
    <w:rPr>
      <w:rFonts w:ascii="Arial" w:hAnsi="Arial" w:eastAsia="宋体" w:cs="Times New Roman"/>
      <w:sz w:val="24"/>
      <w:szCs w:val="20"/>
    </w:rPr>
  </w:style>
  <w:style w:type="paragraph" w:customStyle="1" w:styleId="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普通(网站)1"/>
    <w:basedOn w:val="80"/>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96">
    <w:name w:val="Char12"/>
    <w:basedOn w:val="1"/>
    <w:qFormat/>
    <w:uiPriority w:val="0"/>
    <w:rPr>
      <w:rFonts w:ascii="Times New Roman" w:hAnsi="Times New Roman" w:eastAsia="宋体" w:cs="Times New Roman"/>
      <w:szCs w:val="24"/>
    </w:rPr>
  </w:style>
  <w:style w:type="paragraph" w:customStyle="1" w:styleId="97">
    <w:name w:val="Normal_0"/>
    <w:qFormat/>
    <w:uiPriority w:val="0"/>
    <w:rPr>
      <w:rFonts w:ascii="Times New Roman" w:hAnsi="Times New Roman" w:eastAsia="宋体" w:cs="Times New Roman"/>
      <w:sz w:val="24"/>
      <w:szCs w:val="24"/>
      <w:lang w:val="en-US" w:eastAsia="zh-CN" w:bidi="ar-SA"/>
    </w:rPr>
  </w:style>
  <w:style w:type="paragraph" w:customStyle="1" w:styleId="98">
    <w:name w:val="项目"/>
    <w:basedOn w:val="1"/>
    <w:qFormat/>
    <w:uiPriority w:val="0"/>
    <w:pPr>
      <w:tabs>
        <w:tab w:val="left" w:pos="840"/>
      </w:tabs>
      <w:adjustRightInd w:val="0"/>
      <w:spacing w:before="60" w:after="60" w:line="360" w:lineRule="auto"/>
      <w:ind w:left="840" w:hanging="420"/>
      <w:textAlignment w:val="baseline"/>
    </w:pPr>
    <w:rPr>
      <w:rFonts w:ascii="宋体" w:hAnsi="Times New Roman" w:eastAsia="宋体" w:cs="Times New Roman"/>
      <w:kern w:val="0"/>
      <w:szCs w:val="24"/>
    </w:rPr>
  </w:style>
  <w:style w:type="paragraph" w:customStyle="1" w:styleId="99">
    <w:name w:val="Char"/>
    <w:basedOn w:val="1"/>
    <w:qFormat/>
    <w:uiPriority w:val="0"/>
    <w:pPr>
      <w:tabs>
        <w:tab w:val="left" w:pos="360"/>
      </w:tabs>
    </w:pPr>
    <w:rPr>
      <w:rFonts w:ascii="Times New Roman" w:hAnsi="Times New Roman" w:eastAsia="宋体" w:cs="Times New Roman"/>
      <w:sz w:val="24"/>
      <w:szCs w:val="24"/>
    </w:rPr>
  </w:style>
  <w:style w:type="paragraph" w:customStyle="1" w:styleId="10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1">
    <w:name w:val="纯文本1"/>
    <w:basedOn w:val="84"/>
    <w:qFormat/>
    <w:uiPriority w:val="0"/>
    <w:rPr>
      <w:rFonts w:ascii="宋体" w:hAnsi="Courier New" w:eastAsia="Times New Roman"/>
      <w:kern w:val="2"/>
      <w:sz w:val="21"/>
      <w:szCs w:val="21"/>
    </w:rPr>
  </w:style>
  <w:style w:type="paragraph" w:customStyle="1" w:styleId="1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Normal_0_3"/>
    <w:qFormat/>
    <w:uiPriority w:val="0"/>
    <w:rPr>
      <w:rFonts w:ascii="黑体" w:hAnsi="黑体" w:eastAsia="黑体" w:cs="Times New Roman"/>
      <w:b/>
      <w:sz w:val="32"/>
      <w:szCs w:val="24"/>
      <w:lang w:val="en-US" w:eastAsia="zh-CN" w:bidi="ar-SA"/>
    </w:rPr>
  </w:style>
  <w:style w:type="paragraph" w:customStyle="1" w:styleId="104">
    <w:name w:val="Normal_2"/>
    <w:qFormat/>
    <w:uiPriority w:val="0"/>
    <w:pPr>
      <w:widowControl w:val="0"/>
      <w:jc w:val="both"/>
    </w:pPr>
    <w:rPr>
      <w:rFonts w:ascii="Calibri" w:hAnsi="Calibri" w:eastAsia="宋体" w:cs="Times New Roman"/>
      <w:lang w:val="en-US" w:eastAsia="zh-CN" w:bidi="ar-SA"/>
    </w:rPr>
  </w:style>
  <w:style w:type="paragraph" w:customStyle="1" w:styleId="105">
    <w:name w:val="列出段落1_0"/>
    <w:basedOn w:val="106"/>
    <w:qFormat/>
    <w:uiPriority w:val="0"/>
    <w:pPr>
      <w:ind w:firstLine="200" w:firstLineChars="200"/>
    </w:pPr>
    <w:rPr>
      <w:rFonts w:eastAsia="Times New Roman"/>
    </w:rPr>
  </w:style>
  <w:style w:type="paragraph" w:customStyle="1" w:styleId="106">
    <w:name w:val="正文1_1"/>
    <w:qFormat/>
    <w:uiPriority w:val="0"/>
    <w:pPr>
      <w:widowControl w:val="0"/>
      <w:jc w:val="both"/>
    </w:pPr>
    <w:rPr>
      <w:rFonts w:ascii="Calibri" w:hAnsi="Calibri" w:eastAsia="宋体" w:cs="Times New Roman"/>
      <w:lang w:val="en-US" w:eastAsia="zh-CN" w:bidi="ar-SA"/>
    </w:rPr>
  </w:style>
  <w:style w:type="paragraph" w:customStyle="1" w:styleId="107">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_9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文本缩进 21"/>
    <w:basedOn w:val="97"/>
    <w:qFormat/>
    <w:uiPriority w:val="0"/>
    <w:pPr>
      <w:widowControl w:val="0"/>
      <w:spacing w:line="540" w:lineRule="exact"/>
      <w:ind w:firstLine="225" w:firstLineChars="225"/>
    </w:pPr>
    <w:rPr>
      <w:rFonts w:ascii="仿宋_GB2312" w:eastAsia="仿宋_GB2312"/>
      <w:sz w:val="32"/>
    </w:rPr>
  </w:style>
  <w:style w:type="paragraph" w:customStyle="1" w:styleId="110">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1">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13">
    <w:name w:val="Normal_7_0"/>
    <w:qFormat/>
    <w:uiPriority w:val="0"/>
    <w:rPr>
      <w:rFonts w:ascii="黑体" w:hAnsi="黑体" w:eastAsia="黑体" w:cs="Times New Roman"/>
      <w:b/>
      <w:sz w:val="32"/>
      <w:szCs w:val="24"/>
      <w:lang w:val="en-US" w:eastAsia="zh-CN" w:bidi="ar-SA"/>
    </w:rPr>
  </w:style>
  <w:style w:type="paragraph" w:customStyle="1" w:styleId="114">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15">
    <w:name w:val="Normal_20_0"/>
    <w:qFormat/>
    <w:uiPriority w:val="0"/>
    <w:pPr>
      <w:widowControl w:val="0"/>
      <w:jc w:val="both"/>
    </w:pPr>
    <w:rPr>
      <w:rFonts w:ascii="Calibri" w:hAnsi="Calibri" w:eastAsia="宋体" w:cs="Times New Roman"/>
      <w:lang w:val="en-US" w:eastAsia="zh-CN" w:bidi="ar-SA"/>
    </w:rPr>
  </w:style>
  <w:style w:type="paragraph" w:customStyle="1" w:styleId="116">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17">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文本缩进 2_0"/>
    <w:basedOn w:val="67"/>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0">
    <w:name w:val="Normal_18"/>
    <w:qFormat/>
    <w:uiPriority w:val="0"/>
    <w:rPr>
      <w:rFonts w:ascii="黑体" w:hAnsi="黑体" w:eastAsia="黑体" w:cs="Times New Roman"/>
      <w:b/>
      <w:sz w:val="32"/>
      <w:szCs w:val="24"/>
      <w:lang w:val="en-US" w:eastAsia="zh-CN" w:bidi="ar-SA"/>
    </w:rPr>
  </w:style>
  <w:style w:type="paragraph" w:customStyle="1" w:styleId="121">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22">
    <w:name w:val="Normal_0_1"/>
    <w:qFormat/>
    <w:uiPriority w:val="0"/>
    <w:pPr>
      <w:adjustRightInd w:val="0"/>
      <w:snapToGrid w:val="0"/>
    </w:pPr>
    <w:rPr>
      <w:rFonts w:ascii="Tahoma" w:hAnsi="Tahoma" w:eastAsia="微软雅黑" w:cs="Times New Roman"/>
      <w:lang w:val="en-US" w:eastAsia="zh-CN" w:bidi="ar-SA"/>
    </w:rPr>
  </w:style>
  <w:style w:type="paragraph" w:customStyle="1" w:styleId="123">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9"/>
    <w:qFormat/>
    <w:uiPriority w:val="0"/>
    <w:pPr>
      <w:widowControl w:val="0"/>
      <w:jc w:val="both"/>
    </w:pPr>
    <w:rPr>
      <w:rFonts w:ascii="Calibri" w:hAnsi="Calibri" w:eastAsia="宋体" w:cs="Times New Roman"/>
      <w:lang w:val="en-US" w:eastAsia="zh-CN" w:bidi="ar-SA"/>
    </w:rPr>
  </w:style>
  <w:style w:type="paragraph" w:customStyle="1" w:styleId="125">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26">
    <w:name w:val="_Style 12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27">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Normal_0_2"/>
    <w:qFormat/>
    <w:uiPriority w:val="0"/>
    <w:pPr>
      <w:adjustRightInd w:val="0"/>
      <w:snapToGrid w:val="0"/>
    </w:pPr>
    <w:rPr>
      <w:rFonts w:ascii="Tahoma" w:hAnsi="Tahoma" w:eastAsia="微软雅黑" w:cs="Times New Roman"/>
      <w:lang w:val="en-US" w:eastAsia="zh-CN" w:bidi="ar-SA"/>
    </w:rPr>
  </w:style>
  <w:style w:type="paragraph" w:customStyle="1" w:styleId="12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customStyle="1" w:styleId="135">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3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Normal_1_1"/>
    <w:qFormat/>
    <w:uiPriority w:val="0"/>
    <w:rPr>
      <w:rFonts w:ascii="黑体" w:hAnsi="黑体" w:eastAsia="黑体" w:cs="Times New Roman"/>
      <w:b/>
      <w:sz w:val="32"/>
      <w:szCs w:val="24"/>
      <w:lang w:val="en-US" w:eastAsia="zh-CN" w:bidi="ar-SA"/>
    </w:rPr>
  </w:style>
  <w:style w:type="paragraph" w:customStyle="1" w:styleId="140">
    <w:name w:val="Normal_2_0"/>
    <w:qFormat/>
    <w:uiPriority w:val="0"/>
    <w:rPr>
      <w:rFonts w:ascii="黑体" w:hAnsi="黑体" w:eastAsia="黑体" w:cs="Times New Roman"/>
      <w:b/>
      <w:sz w:val="32"/>
      <w:szCs w:val="24"/>
      <w:lang w:val="en-US" w:eastAsia="zh-CN" w:bidi="ar-SA"/>
    </w:rPr>
  </w:style>
  <w:style w:type="paragraph" w:customStyle="1" w:styleId="14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Normal_9_0"/>
    <w:qFormat/>
    <w:uiPriority w:val="0"/>
    <w:rPr>
      <w:rFonts w:ascii="黑体" w:hAnsi="黑体" w:eastAsia="黑体" w:cs="Times New Roman"/>
      <w:b/>
      <w:sz w:val="32"/>
      <w:szCs w:val="24"/>
      <w:lang w:val="en-US" w:eastAsia="zh-CN" w:bidi="ar-SA"/>
    </w:rPr>
  </w:style>
  <w:style w:type="paragraph" w:customStyle="1" w:styleId="145">
    <w:name w:val="Normal_10_0"/>
    <w:qFormat/>
    <w:uiPriority w:val="0"/>
    <w:rPr>
      <w:rFonts w:ascii="黑体" w:hAnsi="黑体" w:eastAsia="黑体" w:cs="Times New Roman"/>
      <w:b/>
      <w:sz w:val="32"/>
      <w:szCs w:val="24"/>
      <w:lang w:val="en-US" w:eastAsia="zh-CN" w:bidi="ar-SA"/>
    </w:rPr>
  </w:style>
  <w:style w:type="paragraph" w:customStyle="1" w:styleId="146">
    <w:name w:val="Normal_12_0"/>
    <w:qFormat/>
    <w:uiPriority w:val="0"/>
    <w:rPr>
      <w:rFonts w:ascii="黑体" w:hAnsi="黑体" w:eastAsia="黑体" w:cs="Times New Roman"/>
      <w:b/>
      <w:sz w:val="32"/>
      <w:szCs w:val="24"/>
      <w:lang w:val="en-US" w:eastAsia="zh-CN" w:bidi="ar-SA"/>
    </w:rPr>
  </w:style>
  <w:style w:type="paragraph" w:customStyle="1" w:styleId="147">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 A"/>
    <w:qFormat/>
    <w:uiPriority w:val="0"/>
    <w:pPr>
      <w:widowControl w:val="0"/>
      <w:jc w:val="both"/>
    </w:pPr>
    <w:rPr>
      <w:rFonts w:ascii="Times New Roman" w:hAnsi="Times New Roman" w:eastAsia="宋体" w:cs="Arial Unicode MS"/>
      <w:color w:val="000000"/>
      <w:kern w:val="2"/>
      <w:sz w:val="24"/>
      <w:szCs w:val="24"/>
      <w:u w:val="none" w:color="000000"/>
      <w:lang w:val="en-US" w:eastAsia="zh-CN" w:bidi="ar-SA"/>
    </w:rPr>
  </w:style>
  <w:style w:type="paragraph" w:customStyle="1" w:styleId="150">
    <w:name w:val="Normal_20"/>
    <w:qFormat/>
    <w:uiPriority w:val="0"/>
    <w:rPr>
      <w:rFonts w:ascii="Times New Roman" w:hAnsi="Times New Roman" w:eastAsia="Times New Roman" w:cs="Times New Roman"/>
      <w:sz w:val="24"/>
      <w:szCs w:val="24"/>
      <w:lang w:bidi="ar-SA"/>
    </w:rPr>
  </w:style>
  <w:style w:type="table" w:customStyle="1" w:styleId="151">
    <w:name w:val="Table Normal"/>
    <w:qFormat/>
    <w:uiPriority w:val="0"/>
    <w:rPr>
      <w:rFonts w:ascii="Times New Roman" w:hAnsi="Times New Roman"/>
      <w:lang w:val="en-US" w:eastAsia="zh-CN" w:bidi="ar-SA"/>
    </w:rPr>
    <w:tblPr>
      <w:tblCellMar>
        <w:top w:w="0" w:type="dxa"/>
        <w:left w:w="0" w:type="dxa"/>
        <w:bottom w:w="0" w:type="dxa"/>
        <w:right w:w="0" w:type="dxa"/>
      </w:tblCellMar>
    </w:tblPr>
  </w:style>
  <w:style w:type="paragraph" w:customStyle="1" w:styleId="152">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53">
    <w:name w:val="批注文字 Char1"/>
    <w:qFormat/>
    <w:uiPriority w:val="99"/>
    <w:rPr>
      <w:rFonts w:ascii="Times New Roman" w:hAnsi="Times New Roman" w:eastAsia="宋体" w:cs="Times New Roman"/>
      <w:szCs w:val="24"/>
    </w:rPr>
  </w:style>
  <w:style w:type="character" w:customStyle="1" w:styleId="15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138</Words>
  <Characters>162</Characters>
  <Lines>90</Lines>
  <Paragraphs>25</Paragraphs>
  <TotalTime>37</TotalTime>
  <ScaleCrop>false</ScaleCrop>
  <LinksUpToDate>false</LinksUpToDate>
  <CharactersWithSpaces>186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2025-02-10T17:23:00Z</dcterms:created>
  <dc:creator>t</dc:creator>
  <cp:lastModifiedBy>王川</cp:lastModifiedBy>
  <cp:lastPrinted>2025-11-20T08:50:00Z</cp:lastPrinted>
  <dcterms:modified xsi:type="dcterms:W3CDTF">2025-11-27T06:57:35Z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eyJoZGlkIjoiNmQzYTg5N2NkNzQ2ZGVkZTM1Y2IxNzZiYWMxOWMzYjAiLCJ1c2VySWQiOiIxNjUwMTM3MDcyIn0=</vt:lpwstr>
  </property>
  <property fmtid="{D5CDD505-2E9C-101B-9397-08002B2CF9AE}" pid="4" name="ICV">
    <vt:lpwstr>CBC62D11E7CE49619A9C4DC41A313DA1_13</vt:lpwstr>
  </property>
</Properties>
</file>