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4" w:name="_GoBack"/>
      <w:bookmarkEnd w:id="44"/>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扬州市第三人民医院核酸扩增检测分析仪采购项目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项目名称：扬州市第三人民医院核酸扩增检测分析仪采购项目</w:t>
      </w:r>
    </w:p>
    <w:p w14:paraId="4161A313">
      <w:pPr>
        <w:autoSpaceDE w:val="0"/>
        <w:autoSpaceDN w:val="0"/>
        <w:adjustRightInd w:val="0"/>
        <w:spacing w:line="360" w:lineRule="auto"/>
        <w:ind w:left="1635" w:leftChars="135" w:right="105" w:rightChars="50" w:hanging="1352" w:hangingChars="421"/>
        <w:rPr>
          <w:rFonts w:ascii="宋体" w:hAnsi="宋体"/>
          <w:b/>
          <w:color w:val="000000" w:themeColor="text1"/>
          <w:sz w:val="32"/>
          <w:szCs w:val="32"/>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2025-025</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10</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31</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389CF699">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rPr>
        <w:t>核酸扩增检测分析仪</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1、项目名称：扬州市第三人民医院核酸扩增检测分析仪采购项目</w:t>
      </w:r>
    </w:p>
    <w:p w14:paraId="128BD497">
      <w:pPr>
        <w:topLinePunct/>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2025-025</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92"/>
        <w:gridCol w:w="2976"/>
        <w:gridCol w:w="1134"/>
        <w:gridCol w:w="2157"/>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4D4F1A22">
            <w:pPr>
              <w:pStyle w:val="20"/>
              <w:spacing w:line="240" w:lineRule="auto"/>
              <w:ind w:firstLine="0" w:firstLineChars="0"/>
              <w:jc w:val="center"/>
              <w:rPr>
                <w:rFonts w:ascii="宋体" w:hAnsi="宋体" w:eastAsia="宋体" w:cs="宋体"/>
                <w:color w:val="000000" w:themeColor="text1"/>
                <w:sz w:val="21"/>
                <w:szCs w:val="21"/>
              </w:rPr>
            </w:pPr>
            <w:bookmarkStart w:id="7" w:name="OLE_LINK5"/>
            <w:r>
              <w:rPr>
                <w:rFonts w:hint="eastAsia" w:ascii="宋体" w:hAnsi="宋体" w:eastAsia="宋体" w:cs="宋体"/>
                <w:color w:val="000000" w:themeColor="text1"/>
                <w:sz w:val="21"/>
                <w:szCs w:val="21"/>
              </w:rPr>
              <w:t>序号</w:t>
            </w:r>
          </w:p>
        </w:tc>
        <w:tc>
          <w:tcPr>
            <w:tcW w:w="1892"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7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134"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57"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2562AF7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892"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检验科</w:t>
            </w:r>
          </w:p>
        </w:tc>
        <w:tc>
          <w:tcPr>
            <w:tcW w:w="2976" w:type="dxa"/>
            <w:shd w:val="clear" w:color="auto" w:fill="auto"/>
            <w:vAlign w:val="center"/>
          </w:tcPr>
          <w:p w14:paraId="62ED931F">
            <w:pPr>
              <w:widowControl/>
              <w:jc w:val="center"/>
              <w:textAlignment w:val="center"/>
              <w:rPr>
                <w:rFonts w:ascii="宋体" w:hAnsi="宋体" w:cs="宋体"/>
                <w:color w:val="000000"/>
                <w:szCs w:val="21"/>
              </w:rPr>
            </w:pPr>
            <w:r>
              <w:rPr>
                <w:rFonts w:hint="eastAsia" w:ascii="宋体" w:hAnsi="宋体" w:cs="宋体"/>
                <w:color w:val="000000"/>
                <w:szCs w:val="21"/>
              </w:rPr>
              <w:t>核酸扩增检测分析仪</w:t>
            </w:r>
          </w:p>
        </w:tc>
        <w:tc>
          <w:tcPr>
            <w:tcW w:w="1134" w:type="dxa"/>
            <w:shd w:val="clear" w:color="auto" w:fill="auto"/>
            <w:vAlign w:val="center"/>
          </w:tcPr>
          <w:p w14:paraId="33EF0586">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套</w:t>
            </w:r>
          </w:p>
        </w:tc>
        <w:tc>
          <w:tcPr>
            <w:tcW w:w="2157" w:type="dxa"/>
            <w:shd w:val="clear" w:color="auto" w:fill="auto"/>
            <w:vAlign w:val="center"/>
          </w:tcPr>
          <w:p w14:paraId="69B79487">
            <w:pPr>
              <w:widowControl/>
              <w:spacing w:line="24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含配套试剂耗材</w:t>
            </w:r>
          </w:p>
        </w:tc>
      </w:tr>
      <w:bookmarkEnd w:id="7"/>
    </w:tbl>
    <w:p w14:paraId="7DD5B8D4">
      <w:pPr>
        <w:spacing w:line="360" w:lineRule="auto"/>
        <w:ind w:firstLine="420" w:firstLineChars="200"/>
        <w:rPr>
          <w:rFonts w:ascii="宋体" w:hAnsi="宋体" w:cs="宋体"/>
          <w:color w:val="000000" w:themeColor="text1"/>
        </w:rPr>
      </w:pPr>
    </w:p>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设定最高限价：</w:t>
      </w:r>
      <w:r>
        <w:rPr>
          <w:rFonts w:hint="eastAsia" w:ascii="宋体" w:hAnsi="宋体" w:cs="宋体"/>
          <w:color w:val="000000"/>
          <w:kern w:val="0"/>
          <w:szCs w:val="21"/>
          <w:lang w:bidi="ar"/>
        </w:rPr>
        <w:t>试剂报价不得高于省平台中标价格</w:t>
      </w:r>
      <w:r>
        <w:rPr>
          <w:rFonts w:hint="eastAsia" w:ascii="宋体" w:hAnsi="宋体" w:cs="宋体"/>
          <w:color w:val="000000" w:themeColor="text1"/>
          <w:szCs w:val="21"/>
        </w:rPr>
        <w:t>；（</w:t>
      </w:r>
      <w:r>
        <w:rPr>
          <w:rFonts w:hint="eastAsia" w:ascii="宋体" w:hAnsi="宋体"/>
          <w:color w:val="000000" w:themeColor="text1"/>
          <w:szCs w:val="21"/>
        </w:rPr>
        <w:t>报价超过最高限价的为无效报价，按照无效响应处理）。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31</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日15时止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2、报名方式：现场报名或网络报名，投标人还需要</w:t>
      </w:r>
      <w:r>
        <w:rPr>
          <w:rFonts w:hint="eastAsia" w:ascii="宋体" w:hAnsi="宋体"/>
          <w:color w:val="000000" w:themeColor="text1"/>
          <w:szCs w:val="21"/>
        </w:rPr>
        <w:t>将报名的项目名称、投标产品名称、品牌、型号、供应商公司名称、企业营业执照</w:t>
      </w:r>
      <w:r>
        <w:rPr>
          <w:rFonts w:hint="eastAsia" w:ascii="宋体" w:hAnsi="宋体" w:cs="仿宋"/>
          <w:color w:val="000000" w:themeColor="text1"/>
          <w:kern w:val="0"/>
          <w:szCs w:val="21"/>
        </w:rPr>
        <w:t>（传图片）</w:t>
      </w:r>
      <w:r>
        <w:rPr>
          <w:rFonts w:hint="eastAsia" w:ascii="宋体" w:hAnsi="宋体"/>
          <w:color w:val="000000" w:themeColor="text1"/>
          <w:szCs w:val="21"/>
        </w:rPr>
        <w:t>、联系人及电话等信息发送至邮箱：</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，标题注明报名的项目名称及本公司名称。</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1</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31</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10" w:name="_Toc132309521"/>
      <w:bookmarkStart w:id="11" w:name="_Toc168582597"/>
      <w:r>
        <w:rPr>
          <w:rFonts w:hint="eastAsia"/>
          <w:color w:val="000000" w:themeColor="text1"/>
          <w:sz w:val="36"/>
          <w:szCs w:val="36"/>
        </w:rPr>
        <w:t>第二章  响应须知</w:t>
      </w:r>
      <w:bookmarkEnd w:id="10"/>
      <w:bookmarkEnd w:id="11"/>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扬州市第三人民医院核酸扩增检测分析采购项目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ascii="宋体" w:hAnsi="宋体"/>
                <w:b/>
                <w:color w:val="000000" w:themeColor="text1"/>
                <w:szCs w:val="21"/>
              </w:rPr>
            </w:pPr>
            <w:r>
              <w:rPr>
                <w:rFonts w:ascii="宋体" w:hAnsi="宋体"/>
                <w:color w:val="000000" w:themeColor="text1"/>
                <w:szCs w:val="21"/>
              </w:rPr>
              <w:t>YZSY-YLQXK-</w:t>
            </w:r>
            <w:r>
              <w:rPr>
                <w:rFonts w:hint="eastAsia" w:ascii="宋体" w:hAnsi="宋体"/>
                <w:color w:val="000000" w:themeColor="text1"/>
                <w:szCs w:val="21"/>
              </w:rPr>
              <w:t>2025-025</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2" w:name="_Toc168582598"/>
      <w:bookmarkStart w:id="13" w:name="_Toc132309522"/>
      <w:r>
        <w:rPr>
          <w:rFonts w:hint="eastAsia" w:ascii="宋体" w:hAnsi="宋体" w:eastAsia="宋体"/>
          <w:color w:val="000000" w:themeColor="text1"/>
          <w:sz w:val="24"/>
          <w:szCs w:val="24"/>
        </w:rPr>
        <w:t>一、总 则</w:t>
      </w:r>
      <w:bookmarkEnd w:id="12"/>
      <w:bookmarkEnd w:id="13"/>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4" w:name="_Toc168582599"/>
      <w:bookmarkStart w:id="15" w:name="_Toc132309523"/>
      <w:r>
        <w:rPr>
          <w:rFonts w:hint="eastAsia" w:ascii="宋体" w:hAnsi="宋体" w:eastAsia="宋体"/>
          <w:color w:val="000000" w:themeColor="text1"/>
          <w:sz w:val="24"/>
          <w:szCs w:val="24"/>
        </w:rPr>
        <w:t>二、招标文件</w:t>
      </w:r>
      <w:bookmarkEnd w:id="14"/>
      <w:bookmarkEnd w:id="15"/>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6" w:name="_Toc132309524"/>
      <w:bookmarkStart w:id="17" w:name="_Toc168582600"/>
      <w:r>
        <w:rPr>
          <w:rFonts w:hint="eastAsia" w:ascii="宋体" w:hAnsi="宋体" w:eastAsia="宋体"/>
          <w:color w:val="000000" w:themeColor="text1"/>
          <w:sz w:val="24"/>
          <w:szCs w:val="24"/>
        </w:rPr>
        <w:t>三、响应文件的编制</w:t>
      </w:r>
      <w:bookmarkEnd w:id="16"/>
      <w:bookmarkEnd w:id="17"/>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8" w:name="_Toc132309525"/>
      <w:bookmarkStart w:id="19" w:name="_Toc168582601"/>
      <w:r>
        <w:rPr>
          <w:rFonts w:hint="eastAsia" w:ascii="宋体" w:hAnsi="宋体" w:eastAsia="宋体"/>
          <w:color w:val="000000" w:themeColor="text1"/>
          <w:sz w:val="24"/>
          <w:szCs w:val="24"/>
        </w:rPr>
        <w:t>四、响应文件的递交</w:t>
      </w:r>
      <w:bookmarkEnd w:id="18"/>
      <w:bookmarkEnd w:id="19"/>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20" w:name="_Toc213839733"/>
      <w:r>
        <w:rPr>
          <w:rFonts w:hint="eastAsia" w:ascii="宋体" w:hAnsi="宋体"/>
          <w:b/>
          <w:bCs/>
          <w:color w:val="000000" w:themeColor="text1"/>
          <w:szCs w:val="21"/>
        </w:rPr>
        <w:t>（十五）响应文件的修改</w:t>
      </w:r>
      <w:bookmarkEnd w:id="20"/>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1"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1"/>
    </w:p>
    <w:p w14:paraId="658B1253">
      <w:pPr>
        <w:pStyle w:val="3"/>
        <w:spacing w:before="0" w:after="0" w:line="360" w:lineRule="auto"/>
        <w:ind w:firstLine="482" w:firstLineChars="200"/>
        <w:rPr>
          <w:rFonts w:ascii="宋体" w:hAnsi="宋体" w:eastAsia="宋体"/>
          <w:color w:val="000000" w:themeColor="text1"/>
          <w:sz w:val="24"/>
          <w:szCs w:val="24"/>
        </w:rPr>
      </w:pPr>
      <w:bookmarkStart w:id="22" w:name="_Toc168582602"/>
      <w:bookmarkStart w:id="23" w:name="_Toc132309526"/>
      <w:r>
        <w:rPr>
          <w:rFonts w:hint="eastAsia" w:ascii="宋体" w:hAnsi="宋体" w:eastAsia="宋体"/>
          <w:color w:val="000000" w:themeColor="text1"/>
          <w:sz w:val="24"/>
          <w:szCs w:val="24"/>
        </w:rPr>
        <w:t>五、其他条款</w:t>
      </w:r>
      <w:bookmarkEnd w:id="22"/>
      <w:bookmarkEnd w:id="23"/>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4" w:name="_Toc132309527"/>
      <w:bookmarkStart w:id="25" w:name="_Toc168582603"/>
      <w:r>
        <w:rPr>
          <w:rFonts w:hint="eastAsia" w:ascii="宋体" w:hAnsi="宋体" w:eastAsia="宋体"/>
          <w:color w:val="000000" w:themeColor="text1"/>
          <w:sz w:val="24"/>
          <w:szCs w:val="24"/>
        </w:rPr>
        <w:t>六、评审程序</w:t>
      </w:r>
      <w:bookmarkEnd w:id="24"/>
      <w:bookmarkEnd w:id="25"/>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6"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6"/>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7" w:name="EB1499356fad43416eb16398733accabf7"/>
      <w:r>
        <w:rPr>
          <w:rFonts w:hint="eastAsia" w:ascii="宋体" w:hAnsi="宋体"/>
          <w:color w:val="000000" w:themeColor="text1"/>
          <w:szCs w:val="21"/>
        </w:rPr>
        <w:t>所谓重大偏离是指响应文件中所述质量、技术、服务等明显不能满足招标文件要求。</w:t>
      </w:r>
      <w:bookmarkEnd w:id="27"/>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8" w:name="_Toc132309528"/>
      <w:bookmarkStart w:id="29" w:name="_Toc168582604"/>
      <w:r>
        <w:rPr>
          <w:rFonts w:hint="eastAsia" w:ascii="宋体" w:hAnsi="宋体" w:eastAsia="宋体"/>
          <w:color w:val="000000" w:themeColor="text1"/>
          <w:sz w:val="24"/>
          <w:szCs w:val="24"/>
        </w:rPr>
        <w:t>七、中标及合同签订</w:t>
      </w:r>
      <w:bookmarkEnd w:id="28"/>
      <w:bookmarkEnd w:id="29"/>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30" w:name="_Toc168582605"/>
      <w:bookmarkStart w:id="31" w:name="_Toc132309529"/>
      <w:r>
        <w:rPr>
          <w:rFonts w:hint="eastAsia" w:ascii="宋体" w:hAnsi="宋体" w:eastAsia="宋体"/>
          <w:color w:val="000000" w:themeColor="text1"/>
          <w:sz w:val="24"/>
          <w:szCs w:val="24"/>
        </w:rPr>
        <w:t>八、考核及付款</w:t>
      </w:r>
      <w:bookmarkEnd w:id="30"/>
      <w:bookmarkEnd w:id="31"/>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1D2D4AD1">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2" w:name="_Toc521602502"/>
    </w:p>
    <w:p w14:paraId="1D423345">
      <w:pPr>
        <w:pStyle w:val="2"/>
        <w:spacing w:before="0" w:after="0" w:line="360" w:lineRule="auto"/>
        <w:jc w:val="center"/>
        <w:rPr>
          <w:color w:val="000000" w:themeColor="text1"/>
          <w:sz w:val="36"/>
          <w:szCs w:val="36"/>
        </w:rPr>
      </w:pPr>
      <w:bookmarkStart w:id="33" w:name="_Toc132309530"/>
      <w:bookmarkStart w:id="34" w:name="_Toc168582606"/>
      <w:r>
        <w:rPr>
          <w:rFonts w:hint="eastAsia"/>
          <w:color w:val="000000" w:themeColor="text1"/>
          <w:sz w:val="36"/>
          <w:szCs w:val="36"/>
        </w:rPr>
        <w:t xml:space="preserve">第三章  </w:t>
      </w:r>
      <w:bookmarkEnd w:id="32"/>
      <w:r>
        <w:rPr>
          <w:rFonts w:hint="eastAsia"/>
          <w:color w:val="000000" w:themeColor="text1"/>
          <w:sz w:val="36"/>
          <w:szCs w:val="36"/>
        </w:rPr>
        <w:t>评审办法</w:t>
      </w:r>
      <w:bookmarkEnd w:id="33"/>
      <w:bookmarkEnd w:id="34"/>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743AE3D2">
      <w:pPr>
        <w:spacing w:line="360" w:lineRule="auto"/>
        <w:jc w:val="left"/>
        <w:rPr>
          <w:rFonts w:ascii="宋体" w:hAnsi="宋体" w:cs="宋体"/>
          <w:color w:val="000000" w:themeColor="text1"/>
          <w:szCs w:val="21"/>
        </w:rPr>
      </w:pPr>
    </w:p>
    <w:p w14:paraId="4139230C">
      <w:pPr>
        <w:spacing w:line="360" w:lineRule="auto"/>
        <w:jc w:val="left"/>
        <w:rPr>
          <w:rFonts w:ascii="宋体" w:hAnsi="宋体" w:cs="宋体"/>
          <w:color w:val="000000" w:themeColor="text1"/>
          <w:szCs w:val="21"/>
        </w:rPr>
      </w:pPr>
    </w:p>
    <w:p w14:paraId="1FA8B893">
      <w:pPr>
        <w:spacing w:line="360" w:lineRule="auto"/>
        <w:jc w:val="left"/>
        <w:rPr>
          <w:rFonts w:ascii="宋体" w:hAnsi="宋体" w:cs="宋体"/>
          <w:color w:val="000000" w:themeColor="text1"/>
          <w:szCs w:val="21"/>
        </w:rPr>
      </w:pPr>
    </w:p>
    <w:p w14:paraId="5BC82D2E">
      <w:pPr>
        <w:spacing w:line="360" w:lineRule="auto"/>
        <w:jc w:val="left"/>
        <w:rPr>
          <w:rFonts w:ascii="宋体" w:hAnsi="宋体" w:cs="宋体"/>
          <w:color w:val="000000" w:themeColor="text1"/>
          <w:szCs w:val="21"/>
        </w:rPr>
      </w:pPr>
    </w:p>
    <w:p w14:paraId="7428F0C5">
      <w:pPr>
        <w:spacing w:line="360" w:lineRule="auto"/>
        <w:jc w:val="left"/>
        <w:rPr>
          <w:rFonts w:ascii="宋体" w:hAnsi="宋体" w:cs="宋体"/>
          <w:color w:val="000000" w:themeColor="text1"/>
          <w:szCs w:val="21"/>
        </w:rPr>
      </w:pPr>
    </w:p>
    <w:p w14:paraId="6F6E97F0">
      <w:pPr>
        <w:spacing w:line="360" w:lineRule="auto"/>
        <w:jc w:val="left"/>
        <w:rPr>
          <w:rFonts w:ascii="宋体" w:hAnsi="宋体" w:cs="宋体"/>
          <w:color w:val="000000" w:themeColor="text1"/>
          <w:szCs w:val="21"/>
        </w:rPr>
      </w:pPr>
    </w:p>
    <w:p w14:paraId="01999692">
      <w:pPr>
        <w:spacing w:line="360" w:lineRule="auto"/>
        <w:jc w:val="left"/>
        <w:rPr>
          <w:rFonts w:ascii="宋体" w:hAnsi="宋体" w:cs="宋体"/>
          <w:color w:val="000000" w:themeColor="text1"/>
          <w:szCs w:val="21"/>
        </w:rPr>
      </w:pPr>
    </w:p>
    <w:p w14:paraId="71E7070C">
      <w:pPr>
        <w:spacing w:line="360" w:lineRule="auto"/>
        <w:jc w:val="left"/>
        <w:rPr>
          <w:rFonts w:ascii="宋体" w:hAnsi="宋体" w:cs="宋体"/>
          <w:color w:val="000000" w:themeColor="text1"/>
          <w:szCs w:val="21"/>
        </w:rPr>
      </w:pPr>
    </w:p>
    <w:p w14:paraId="27B4AD15">
      <w:pPr>
        <w:spacing w:line="360" w:lineRule="auto"/>
        <w:jc w:val="left"/>
        <w:rPr>
          <w:rFonts w:ascii="宋体" w:hAnsi="宋体" w:cs="宋体"/>
          <w:color w:val="000000" w:themeColor="text1"/>
          <w:szCs w:val="21"/>
        </w:rPr>
      </w:pPr>
    </w:p>
    <w:p w14:paraId="5CB14D68">
      <w:pPr>
        <w:spacing w:line="360" w:lineRule="auto"/>
        <w:jc w:val="left"/>
        <w:rPr>
          <w:rFonts w:ascii="宋体" w:hAnsi="宋体" w:cs="宋体"/>
          <w:color w:val="000000" w:themeColor="text1"/>
          <w:szCs w:val="21"/>
        </w:rPr>
      </w:pPr>
    </w:p>
    <w:p w14:paraId="4C43E052">
      <w:pPr>
        <w:spacing w:line="360" w:lineRule="auto"/>
        <w:jc w:val="left"/>
        <w:rPr>
          <w:rFonts w:ascii="宋体" w:hAnsi="宋体" w:cs="宋体"/>
          <w:color w:val="000000" w:themeColor="text1"/>
          <w:szCs w:val="21"/>
        </w:rPr>
      </w:pPr>
    </w:p>
    <w:p w14:paraId="57B48C4D">
      <w:pPr>
        <w:spacing w:line="360" w:lineRule="auto"/>
        <w:jc w:val="left"/>
        <w:rPr>
          <w:rFonts w:ascii="宋体" w:hAnsi="宋体" w:cs="宋体"/>
          <w:color w:val="000000" w:themeColor="text1"/>
          <w:szCs w:val="21"/>
        </w:rPr>
      </w:pP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653" w:type="dxa"/>
            <w:vMerge w:val="restart"/>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Merge w:val="restart"/>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Merge w:val="restart"/>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101A579D">
            <w:pPr>
              <w:spacing w:line="360" w:lineRule="auto"/>
              <w:rPr>
                <w:rFonts w:ascii="宋体" w:hAnsi="宋体" w:cs="宋体"/>
                <w:color w:val="000000" w:themeColor="text1"/>
                <w:szCs w:val="21"/>
              </w:rPr>
            </w:pPr>
            <w:r>
              <w:rPr>
                <w:rFonts w:hint="eastAsia" w:ascii="宋体" w:hAnsi="宋体" w:cs="宋体"/>
                <w:color w:val="000000" w:themeColor="text1"/>
                <w:szCs w:val="21"/>
              </w:rPr>
              <w:t>1、设备报价（10分）</w:t>
            </w:r>
          </w:p>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以满足招标文件要求的最低设备报价为评标基准价，得10分，其他报价得分=（基准价/报价）×10×100%（小数保留2位）。</w:t>
            </w:r>
          </w:p>
        </w:tc>
      </w:tr>
      <w:tr w14:paraId="55E3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53" w:type="dxa"/>
            <w:vMerge w:val="continue"/>
            <w:vAlign w:val="center"/>
          </w:tcPr>
          <w:p w14:paraId="4AC93CA3">
            <w:pPr>
              <w:spacing w:line="360" w:lineRule="auto"/>
              <w:jc w:val="center"/>
              <w:rPr>
                <w:rFonts w:ascii="宋体" w:hAnsi="宋体"/>
                <w:color w:val="000000" w:themeColor="text1"/>
                <w:szCs w:val="21"/>
              </w:rPr>
            </w:pPr>
          </w:p>
        </w:tc>
        <w:tc>
          <w:tcPr>
            <w:tcW w:w="1256" w:type="dxa"/>
            <w:vMerge w:val="continue"/>
            <w:vAlign w:val="center"/>
          </w:tcPr>
          <w:p w14:paraId="247021C5">
            <w:pPr>
              <w:spacing w:line="360" w:lineRule="auto"/>
              <w:jc w:val="center"/>
              <w:rPr>
                <w:rFonts w:ascii="宋体" w:hAnsi="宋体"/>
                <w:color w:val="000000" w:themeColor="text1"/>
                <w:szCs w:val="21"/>
              </w:rPr>
            </w:pPr>
          </w:p>
        </w:tc>
        <w:tc>
          <w:tcPr>
            <w:tcW w:w="878" w:type="dxa"/>
            <w:vMerge w:val="continue"/>
            <w:vAlign w:val="center"/>
          </w:tcPr>
          <w:p w14:paraId="5D9A1A3A">
            <w:pPr>
              <w:spacing w:line="360" w:lineRule="auto"/>
              <w:jc w:val="center"/>
              <w:rPr>
                <w:rFonts w:ascii="宋体" w:hAnsi="宋体"/>
                <w:color w:val="000000" w:themeColor="text1"/>
                <w:szCs w:val="21"/>
              </w:rPr>
            </w:pPr>
          </w:p>
        </w:tc>
        <w:tc>
          <w:tcPr>
            <w:tcW w:w="6654" w:type="dxa"/>
            <w:vAlign w:val="center"/>
          </w:tcPr>
          <w:p w14:paraId="0FCDD87E">
            <w:pPr>
              <w:spacing w:line="360" w:lineRule="auto"/>
              <w:rPr>
                <w:rFonts w:ascii="宋体" w:hAnsi="宋体" w:cs="宋体"/>
                <w:color w:val="000000" w:themeColor="text1"/>
                <w:szCs w:val="21"/>
              </w:rPr>
            </w:pPr>
            <w:r>
              <w:rPr>
                <w:rFonts w:hint="eastAsia" w:ascii="宋体" w:hAnsi="宋体" w:cs="宋体"/>
                <w:color w:val="000000" w:themeColor="text1"/>
                <w:szCs w:val="21"/>
              </w:rPr>
              <w:t>2、试剂报价（20分）</w:t>
            </w:r>
          </w:p>
          <w:p w14:paraId="79D9C57D">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w:t>
            </w:r>
            <w:r>
              <w:rPr>
                <w:rFonts w:hint="eastAsia" w:ascii="宋体" w:hAnsi="宋体" w:cs="宋体"/>
                <w:color w:val="000000" w:themeColor="text1"/>
                <w:szCs w:val="21"/>
                <w:highlight w:val="none"/>
              </w:rPr>
              <w:t>设备配套</w:t>
            </w:r>
            <w:r>
              <w:rPr>
                <w:rFonts w:hint="eastAsia" w:ascii="宋体" w:hAnsi="宋体" w:cs="宋体"/>
                <w:color w:val="000000" w:themeColor="text1"/>
                <w:szCs w:val="21"/>
                <w:highlight w:val="none"/>
                <w:lang w:val="en-US" w:eastAsia="zh-CN"/>
              </w:rPr>
              <w:t>试剂成交价</w:t>
            </w:r>
            <w:r>
              <w:rPr>
                <w:rFonts w:hint="eastAsia" w:ascii="宋体" w:hAnsi="宋体" w:cs="宋体"/>
                <w:color w:val="000000" w:themeColor="text1"/>
                <w:szCs w:val="21"/>
                <w:highlight w:val="none"/>
              </w:rPr>
              <w:t>与收费价的占比最低的报价为评标基准价，得20分，其他报价得分=(基准价/</w:t>
            </w:r>
            <w:r>
              <w:rPr>
                <w:rFonts w:hint="eastAsia" w:ascii="宋体" w:hAnsi="宋体" w:cs="宋体"/>
                <w:color w:val="000000" w:themeColor="text1"/>
                <w:szCs w:val="21"/>
              </w:rPr>
              <w:t>以收定支比例)×20×100%（小数保留2位）。</w:t>
            </w:r>
          </w:p>
          <w:p w14:paraId="4C8511AA">
            <w:pPr>
              <w:spacing w:line="360" w:lineRule="auto"/>
              <w:rPr>
                <w:rFonts w:ascii="宋体" w:hAnsi="宋体" w:cs="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highlight w:val="none"/>
              </w:rPr>
              <w:t>以</w:t>
            </w:r>
            <w:bookmarkStart w:id="35" w:name="OLE_LINK8"/>
            <w:r>
              <w:rPr>
                <w:rFonts w:hint="eastAsia" w:ascii="宋体" w:hAnsi="宋体" w:cs="宋体"/>
                <w:color w:val="000000" w:themeColor="text1"/>
                <w:szCs w:val="21"/>
                <w:highlight w:val="none"/>
              </w:rPr>
              <w:t>甲型</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乙型流感病毒核酸检测试剂、肺炎支原体核酸检测试剂、结核分枝杆菌核酸检测试剂、百日咳杆菌核酸检测试剂、新型冠状病毒核酸检测试剂、沙眼衣原体核酸检测试剂</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生殖支原体核酸检测试剂这几项</w:t>
            </w:r>
            <w:r>
              <w:rPr>
                <w:rFonts w:hint="eastAsia" w:ascii="宋体" w:hAnsi="宋体" w:cs="宋体"/>
                <w:color w:val="000000" w:themeColor="text1"/>
                <w:szCs w:val="21"/>
                <w:highlight w:val="none"/>
                <w:lang w:val="en-US" w:eastAsia="zh-CN"/>
              </w:rPr>
              <w:t>的试剂成交价合计</w:t>
            </w:r>
            <w:r>
              <w:rPr>
                <w:rFonts w:hint="eastAsia" w:ascii="宋体" w:hAnsi="宋体" w:cs="宋体"/>
                <w:color w:val="000000" w:themeColor="text1"/>
                <w:szCs w:val="21"/>
                <w:highlight w:val="none"/>
              </w:rPr>
              <w:t>与收费价</w:t>
            </w:r>
            <w:r>
              <w:rPr>
                <w:rFonts w:hint="eastAsia" w:ascii="宋体" w:hAnsi="宋体" w:cs="宋体"/>
                <w:color w:val="000000" w:themeColor="text1"/>
                <w:szCs w:val="21"/>
                <w:highlight w:val="none"/>
                <w:lang w:val="en-US" w:eastAsia="zh-CN"/>
              </w:rPr>
              <w:t>合计</w:t>
            </w:r>
            <w:r>
              <w:rPr>
                <w:rFonts w:hint="eastAsia" w:ascii="宋体" w:hAnsi="宋体" w:cs="宋体"/>
                <w:color w:val="000000" w:themeColor="text1"/>
                <w:szCs w:val="21"/>
                <w:highlight w:val="none"/>
              </w:rPr>
              <w:t>的占比为该项评分</w:t>
            </w:r>
            <w:r>
              <w:rPr>
                <w:rFonts w:hint="eastAsia" w:ascii="宋体" w:hAnsi="宋体" w:cs="宋体"/>
                <w:color w:val="000000" w:themeColor="text1"/>
                <w:szCs w:val="21"/>
              </w:rPr>
              <w:t>。</w:t>
            </w:r>
            <w:bookmarkEnd w:id="35"/>
            <w:r>
              <w:rPr>
                <w:rFonts w:hint="eastAsia" w:ascii="宋体" w:hAnsi="宋体" w:cs="宋体"/>
                <w:color w:val="000000" w:themeColor="text1"/>
                <w:szCs w:val="21"/>
              </w:rPr>
              <w:t>所有试剂必须以说明书中载明的测试人份为准进行测算单个测</w:t>
            </w:r>
            <w:r>
              <w:rPr>
                <w:rFonts w:hint="eastAsia" w:ascii="宋体" w:hAnsi="宋体" w:cs="宋体"/>
                <w:color w:val="000000" w:themeColor="text1"/>
                <w:szCs w:val="21"/>
                <w:highlight w:val="none"/>
              </w:rPr>
              <w:t>试</w:t>
            </w:r>
            <w:r>
              <w:rPr>
                <w:rFonts w:hint="eastAsia" w:ascii="宋体" w:hAnsi="宋体" w:cs="宋体"/>
                <w:color w:val="000000" w:themeColor="text1"/>
                <w:szCs w:val="21"/>
                <w:highlight w:val="none"/>
                <w:lang w:val="en-US" w:eastAsia="zh-CN"/>
              </w:rPr>
              <w:t>的试剂供应价</w:t>
            </w:r>
            <w:r>
              <w:rPr>
                <w:rFonts w:hint="eastAsia" w:ascii="宋体" w:hAnsi="宋体" w:cs="宋体"/>
                <w:color w:val="000000" w:themeColor="text1"/>
                <w:szCs w:val="21"/>
                <w:highlight w:val="none"/>
              </w:rPr>
              <w:t>与收费价的占比。</w:t>
            </w:r>
            <w:r>
              <w:rPr>
                <w:rFonts w:hint="eastAsia" w:ascii="宋体" w:hAnsi="宋体" w:cs="宋体"/>
                <w:bCs/>
                <w:color w:val="000000" w:themeColor="text1"/>
                <w:highlight w:val="none"/>
              </w:rPr>
              <w:t>投标试剂报价应包含该项目的所有配套</w:t>
            </w:r>
            <w:r>
              <w:rPr>
                <w:rFonts w:hint="eastAsia" w:ascii="宋体" w:hAnsi="宋体" w:cs="宋体"/>
                <w:bCs/>
                <w:color w:val="000000" w:themeColor="text1"/>
              </w:rPr>
              <w:t>试剂、耗材、质控品、校准品等。提供试剂说明书。</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根据采购需求及响应情况打分：完全满足招标文件技术参数要求的得25分；标 “★”号的技术指标为关键指标，有一项负偏离扣3分；其余为一般参数指标，有一项负偏离扣1分，扣完为止。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4E7730D8">
            <w:pPr>
              <w:spacing w:line="360" w:lineRule="auto"/>
              <w:rPr>
                <w:rFonts w:ascii="宋体" w:hAnsi="宋体" w:cs="宋体"/>
                <w:highlight w:val="none"/>
              </w:rPr>
            </w:pPr>
            <w:r>
              <w:rPr>
                <w:rFonts w:hint="eastAsia" w:ascii="宋体" w:hAnsi="宋体" w:cs="宋体"/>
              </w:rPr>
              <w:t>1、根据投标人提供的</w:t>
            </w:r>
            <w:r>
              <w:rPr>
                <w:rFonts w:hint="eastAsia" w:ascii="宋体" w:hAnsi="宋体" w:cs="宋体"/>
                <w:color w:val="000000"/>
                <w:szCs w:val="21"/>
              </w:rPr>
              <w:t>产品结构合理、技术成熟度、性能和效能、选型合理、</w:t>
            </w:r>
            <w:r>
              <w:rPr>
                <w:rFonts w:hint="eastAsia" w:ascii="宋体" w:hAnsi="宋体" w:cs="宋体"/>
                <w:color w:val="000000"/>
                <w:szCs w:val="21"/>
                <w:lang w:val="en-US" w:eastAsia="zh-CN"/>
              </w:rPr>
              <w:t>功能完</w:t>
            </w:r>
            <w:r>
              <w:rPr>
                <w:rFonts w:hint="eastAsia" w:ascii="宋体" w:hAnsi="宋体" w:cs="宋体"/>
                <w:color w:val="000000"/>
                <w:szCs w:val="21"/>
                <w:highlight w:val="none"/>
                <w:lang w:val="en-US" w:eastAsia="zh-CN"/>
              </w:rPr>
              <w:t>善、自动检测操作便捷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p>
          <w:p w14:paraId="0E4C6F77">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p>
          <w:p w14:paraId="5CBEC1A7">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p>
          <w:p w14:paraId="32167219">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20D84253">
            <w:pPr>
              <w:spacing w:line="360" w:lineRule="auto"/>
              <w:rPr>
                <w:rFonts w:ascii="宋体" w:hAnsi="宋体" w:cs="宋体"/>
              </w:rPr>
            </w:pPr>
            <w:r>
              <w:rPr>
                <w:rFonts w:hint="eastAsia" w:ascii="宋体" w:hAnsi="宋体" w:cs="宋体"/>
              </w:rPr>
              <w:t>方案具有不合理项、描述略欠缺的得1分。</w:t>
            </w:r>
          </w:p>
          <w:p w14:paraId="3AD19A4D">
            <w:pPr>
              <w:pStyle w:val="10"/>
              <w:spacing w:line="360" w:lineRule="auto"/>
              <w:ind w:left="0"/>
              <w:rPr>
                <w:rFonts w:ascii="宋体" w:hAnsi="宋体" w:cs="宋体"/>
              </w:rPr>
            </w:pPr>
            <w:r>
              <w:rPr>
                <w:rFonts w:hint="eastAsia" w:ascii="宋体" w:hAnsi="宋体" w:cs="宋体"/>
              </w:rPr>
              <w:t>其余不得分。</w:t>
            </w:r>
          </w:p>
          <w:p w14:paraId="6FB6F934">
            <w:pPr>
              <w:spacing w:line="360" w:lineRule="auto"/>
              <w:rPr>
                <w:rFonts w:ascii="宋体" w:hAnsi="宋体" w:cs="宋体"/>
              </w:rPr>
            </w:pPr>
            <w:r>
              <w:rPr>
                <w:rFonts w:hint="eastAsia" w:ascii="宋体" w:hAnsi="宋体" w:cs="宋体"/>
              </w:rPr>
              <w:t>2、根据投标人提供的项目实施方案、进度安排、质量保证措施、产品质量可靠、使用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7</w:t>
            </w:r>
            <w:r>
              <w:rPr>
                <w:rFonts w:hint="eastAsia" w:ascii="宋体" w:hAnsi="宋体" w:cs="宋体"/>
              </w:rPr>
              <w:t>分。</w:t>
            </w:r>
          </w:p>
          <w:p w14:paraId="647AF1C8">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p>
          <w:p w14:paraId="200F0BF4">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3A2B24EC">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4FC7E72">
            <w:pPr>
              <w:spacing w:line="360" w:lineRule="auto"/>
              <w:rPr>
                <w:rFonts w:ascii="宋体" w:hAnsi="宋体" w:cs="宋体"/>
              </w:rPr>
            </w:pPr>
            <w:r>
              <w:rPr>
                <w:rFonts w:hint="eastAsia" w:ascii="宋体" w:hAnsi="宋体" w:cs="宋体"/>
              </w:rPr>
              <w:t>方案具有不合理项、描述略欠缺的得1分。</w:t>
            </w:r>
          </w:p>
          <w:p w14:paraId="72FF1040">
            <w:pPr>
              <w:pStyle w:val="10"/>
              <w:spacing w:line="360" w:lineRule="auto"/>
              <w:ind w:left="0"/>
              <w:rPr>
                <w:rFonts w:ascii="宋体" w:hAnsi="宋体" w:cs="宋体"/>
              </w:rPr>
            </w:pPr>
            <w:r>
              <w:rPr>
                <w:rFonts w:hint="eastAsia" w:ascii="宋体" w:hAnsi="宋体" w:cs="宋体"/>
              </w:rPr>
              <w:t>其余不得分。</w:t>
            </w:r>
          </w:p>
          <w:p w14:paraId="1479055F">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3A74AC97">
            <w:pPr>
              <w:spacing w:line="360" w:lineRule="auto"/>
              <w:rPr>
                <w:rFonts w:ascii="宋体" w:hAnsi="宋体" w:cs="宋体"/>
              </w:rPr>
            </w:pPr>
            <w:r>
              <w:rPr>
                <w:rFonts w:hint="eastAsia" w:ascii="宋体" w:hAnsi="宋体" w:cs="宋体"/>
              </w:rPr>
              <w:t>方案科学、严密、合理，描述详细且具有针对性的得5分。</w:t>
            </w:r>
          </w:p>
          <w:p w14:paraId="37B0E66D">
            <w:pPr>
              <w:spacing w:line="360" w:lineRule="auto"/>
              <w:rPr>
                <w:rFonts w:ascii="宋体" w:hAnsi="宋体" w:cs="宋体"/>
              </w:rPr>
            </w:pPr>
            <w:r>
              <w:rPr>
                <w:rFonts w:hint="eastAsia" w:ascii="宋体" w:hAnsi="宋体" w:cs="宋体"/>
              </w:rPr>
              <w:t>方案基本合理、描述一般、存在可操作性得3分。</w:t>
            </w:r>
          </w:p>
          <w:p w14:paraId="33909D20">
            <w:pPr>
              <w:spacing w:line="360" w:lineRule="auto"/>
              <w:rPr>
                <w:rFonts w:ascii="宋体" w:hAnsi="宋体" w:cs="宋体"/>
              </w:rPr>
            </w:pPr>
            <w:r>
              <w:rPr>
                <w:rFonts w:hint="eastAsia" w:ascii="宋体" w:hAnsi="宋体" w:cs="宋体"/>
              </w:rPr>
              <w:t>方案具有不合理项、描述略欠缺的得1分。</w:t>
            </w:r>
          </w:p>
          <w:p w14:paraId="65B31143">
            <w:pPr>
              <w:pStyle w:val="10"/>
              <w:spacing w:line="360" w:lineRule="auto"/>
              <w:ind w:left="0"/>
            </w:pPr>
            <w:r>
              <w:rPr>
                <w:rFonts w:hint="eastAsia" w:ascii="宋体" w:hAnsi="宋体" w:cs="宋体"/>
              </w:rPr>
              <w:t>其余不得分。</w:t>
            </w:r>
          </w:p>
          <w:p w14:paraId="414DA98C">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3CB8F659">
            <w:pPr>
              <w:spacing w:line="360" w:lineRule="auto"/>
              <w:rPr>
                <w:rFonts w:hint="eastAsia" w:ascii="宋体" w:hAnsi="宋体" w:cs="宋体"/>
              </w:rPr>
            </w:pPr>
            <w:r>
              <w:rPr>
                <w:rFonts w:hint="eastAsia" w:ascii="宋体" w:hAnsi="宋体" w:cs="宋体"/>
              </w:rPr>
              <w:t>方案科学、严密、合理，描述详细且具有针对性的得5分。</w:t>
            </w:r>
          </w:p>
          <w:p w14:paraId="7D372976">
            <w:pPr>
              <w:spacing w:line="360" w:lineRule="auto"/>
              <w:rPr>
                <w:rFonts w:hint="eastAsia" w:ascii="宋体" w:hAnsi="宋体" w:cs="宋体"/>
              </w:rPr>
            </w:pPr>
            <w:r>
              <w:rPr>
                <w:rFonts w:hint="eastAsia" w:ascii="宋体" w:hAnsi="宋体" w:cs="宋体"/>
              </w:rPr>
              <w:t>方案基本合理、描述一般、存在可操作性得3分。</w:t>
            </w:r>
          </w:p>
          <w:p w14:paraId="052A42D7">
            <w:pPr>
              <w:spacing w:line="360" w:lineRule="auto"/>
              <w:rPr>
                <w:rFonts w:hint="eastAsia" w:ascii="宋体" w:hAnsi="宋体" w:cs="宋体"/>
              </w:rPr>
            </w:pPr>
            <w:r>
              <w:rPr>
                <w:rFonts w:hint="eastAsia" w:ascii="宋体" w:hAnsi="宋体" w:cs="宋体"/>
              </w:rPr>
              <w:t>方案具有不合理项、描述略欠缺的得1分。</w:t>
            </w:r>
          </w:p>
          <w:p w14:paraId="75C5C05A">
            <w:pPr>
              <w:spacing w:line="360" w:lineRule="auto"/>
              <w:rPr>
                <w:rFonts w:hint="eastAsia" w:ascii="宋体" w:hAnsi="宋体" w:cs="宋体"/>
                <w:highlight w:val="none"/>
              </w:rPr>
            </w:pPr>
            <w:r>
              <w:rPr>
                <w:rFonts w:hint="eastAsia" w:ascii="宋体" w:hAnsi="宋体" w:cs="宋体"/>
              </w:rPr>
              <w:t>其余不得分。</w:t>
            </w:r>
          </w:p>
          <w:p w14:paraId="54DDF5DD">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方案、检测项目拓展、</w:t>
            </w:r>
            <w:r>
              <w:rPr>
                <w:rFonts w:hint="eastAsia" w:ascii="宋体" w:hAnsi="宋体" w:cs="宋体"/>
                <w:highlight w:val="none"/>
              </w:rPr>
              <w:t>创新与</w:t>
            </w:r>
            <w:r>
              <w:rPr>
                <w:rFonts w:hint="eastAsia" w:ascii="宋体" w:hAnsi="宋体" w:cs="宋体"/>
                <w:highlight w:val="none"/>
                <w:lang w:val="en-US" w:eastAsia="zh-CN"/>
              </w:rPr>
              <w:t>科研合作、满意度提升、</w:t>
            </w:r>
            <w:r>
              <w:rPr>
                <w:rFonts w:hint="eastAsia" w:ascii="宋体" w:hAnsi="宋体" w:cs="宋体"/>
                <w:highlight w:val="none"/>
              </w:rPr>
              <w:t>服务体验提升</w:t>
            </w:r>
            <w:r>
              <w:rPr>
                <w:rFonts w:hint="eastAsia" w:ascii="宋体" w:hAnsi="宋体" w:cs="宋体"/>
                <w:highlight w:val="none"/>
                <w:lang w:val="en-US" w:eastAsia="zh-CN"/>
              </w:rPr>
              <w:t>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09780A63">
            <w:pPr>
              <w:spacing w:line="360" w:lineRule="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55EFCB31">
            <w:pPr>
              <w:spacing w:line="360" w:lineRule="auto"/>
              <w:rPr>
                <w:rFonts w:ascii="宋体" w:hAnsi="宋体" w:cs="楷体_GB2312"/>
                <w:snapToGrid w:val="0"/>
                <w:color w:val="000000" w:themeColor="text1"/>
                <w:kern w:val="0"/>
                <w:szCs w:val="21"/>
                <w:lang w:val="zh-CN"/>
              </w:rPr>
            </w:pPr>
            <w:r>
              <w:rPr>
                <w:rFonts w:hint="eastAsia" w:ascii="宋体" w:hAnsi="宋体"/>
                <w:color w:val="000000" w:themeColor="text1"/>
                <w:szCs w:val="21"/>
              </w:rPr>
              <w:t>1、</w:t>
            </w:r>
            <w:r>
              <w:rPr>
                <w:rFonts w:ascii="宋体" w:hAnsi="宋体"/>
                <w:color w:val="000000" w:themeColor="text1"/>
                <w:szCs w:val="21"/>
              </w:rPr>
              <w:t>质保期3</w:t>
            </w:r>
            <w:r>
              <w:rPr>
                <w:rFonts w:hint="eastAsia" w:ascii="宋体" w:hAnsi="宋体"/>
                <w:color w:val="000000" w:themeColor="text1"/>
                <w:szCs w:val="21"/>
              </w:rPr>
              <w:t>年得2分，</w:t>
            </w:r>
            <w:r>
              <w:rPr>
                <w:rFonts w:hint="eastAsia" w:ascii="宋体" w:hAnsi="宋体" w:cs="楷体_GB2312"/>
                <w:snapToGrid w:val="0"/>
                <w:color w:val="000000" w:themeColor="text1"/>
                <w:kern w:val="0"/>
                <w:szCs w:val="21"/>
                <w:lang w:val="zh-CN"/>
              </w:rPr>
              <w:t>质保期低于</w:t>
            </w:r>
            <w:r>
              <w:rPr>
                <w:rFonts w:ascii="宋体" w:hAnsi="宋体" w:cs="楷体_GB2312"/>
                <w:snapToGrid w:val="0"/>
                <w:color w:val="000000" w:themeColor="text1"/>
                <w:kern w:val="0"/>
                <w:szCs w:val="21"/>
              </w:rPr>
              <w:t>3</w:t>
            </w:r>
            <w:r>
              <w:rPr>
                <w:rFonts w:hint="eastAsia" w:ascii="宋体" w:hAnsi="宋体" w:cs="楷体_GB2312"/>
                <w:snapToGrid w:val="0"/>
                <w:color w:val="000000" w:themeColor="text1"/>
                <w:kern w:val="0"/>
                <w:szCs w:val="21"/>
                <w:lang w:val="zh-CN"/>
              </w:rPr>
              <w:t>年不得分；</w:t>
            </w:r>
          </w:p>
          <w:p w14:paraId="5FC5C5BD">
            <w:pPr>
              <w:spacing w:line="360" w:lineRule="auto"/>
              <w:rPr>
                <w:rFonts w:ascii="宋体" w:hAnsi="宋体"/>
                <w:color w:val="000000" w:themeColor="text1"/>
                <w:szCs w:val="21"/>
              </w:rPr>
            </w:pPr>
            <w:r>
              <w:rPr>
                <w:rFonts w:hint="eastAsia" w:ascii="宋体" w:hAnsi="宋体"/>
                <w:color w:val="000000" w:themeColor="text1"/>
                <w:szCs w:val="21"/>
              </w:rPr>
              <w:t>2、质保期每增加1年加2分，最高加4分；</w:t>
            </w:r>
          </w:p>
          <w:p w14:paraId="1003F12A">
            <w:pPr>
              <w:spacing w:line="360" w:lineRule="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rPr>
              <w:t>3、</w:t>
            </w:r>
            <w:r>
              <w:rPr>
                <w:rFonts w:hint="eastAsia" w:ascii="宋体" w:hAnsi="宋体"/>
                <w:color w:val="000000" w:themeColor="text1"/>
                <w:szCs w:val="21"/>
              </w:rPr>
              <w:t>承诺质保期内</w:t>
            </w:r>
            <w:r>
              <w:rPr>
                <w:rFonts w:ascii="宋体" w:hAnsi="宋体"/>
                <w:color w:val="000000" w:themeColor="text1"/>
                <w:szCs w:val="21"/>
              </w:rPr>
              <w:t>每年免费上门保养不少于</w:t>
            </w:r>
            <w:r>
              <w:rPr>
                <w:rFonts w:hint="eastAsia" w:ascii="宋体" w:hAnsi="宋体"/>
                <w:color w:val="000000" w:themeColor="text1"/>
                <w:szCs w:val="21"/>
              </w:rPr>
              <w:t>4次得2分</w:t>
            </w:r>
            <w:r>
              <w:rPr>
                <w:rFonts w:hint="eastAsia" w:ascii="宋体" w:hAnsi="宋体" w:cs="楷体_GB2312"/>
                <w:snapToGrid w:val="0"/>
                <w:color w:val="000000" w:themeColor="text1"/>
                <w:kern w:val="0"/>
                <w:szCs w:val="21"/>
                <w:lang w:val="zh-CN"/>
              </w:rPr>
              <w:t>；</w:t>
            </w:r>
          </w:p>
          <w:p w14:paraId="1500A967">
            <w:pPr>
              <w:spacing w:line="360" w:lineRule="auto"/>
              <w:rPr>
                <w:rFonts w:ascii="宋体" w:hAnsi="宋体"/>
                <w:color w:val="000000" w:themeColor="text1"/>
                <w:szCs w:val="21"/>
              </w:rPr>
            </w:pPr>
            <w:r>
              <w:rPr>
                <w:rFonts w:hint="eastAsia" w:ascii="宋体" w:hAnsi="宋体"/>
                <w:color w:val="000000" w:themeColor="text1"/>
                <w:szCs w:val="21"/>
              </w:rPr>
              <w:t>4、工程师在</w:t>
            </w:r>
            <w:r>
              <w:rPr>
                <w:rFonts w:ascii="宋体" w:hAnsi="宋体"/>
                <w:color w:val="000000" w:themeColor="text1"/>
                <w:szCs w:val="21"/>
              </w:rPr>
              <w:t>24</w:t>
            </w:r>
            <w:r>
              <w:rPr>
                <w:rFonts w:hint="eastAsia" w:ascii="宋体" w:hAnsi="宋体"/>
                <w:color w:val="000000" w:themeColor="text1"/>
                <w:szCs w:val="21"/>
              </w:rPr>
              <w:t>小时内到达现场</w:t>
            </w:r>
            <w:r>
              <w:rPr>
                <w:rFonts w:hint="eastAsia" w:ascii="宋体" w:hAnsi="宋体" w:cs="宋体"/>
                <w:color w:val="000000" w:themeColor="text1"/>
                <w:szCs w:val="21"/>
                <w:lang w:val="zh-CN"/>
              </w:rPr>
              <w:t>技术指导或解决故障</w:t>
            </w:r>
            <w:r>
              <w:rPr>
                <w:rFonts w:hint="eastAsia" w:ascii="宋体" w:hAnsi="宋体"/>
                <w:color w:val="000000" w:themeColor="text1"/>
                <w:szCs w:val="21"/>
              </w:rPr>
              <w:t>得</w:t>
            </w:r>
            <w:r>
              <w:rPr>
                <w:rFonts w:ascii="宋体" w:hAnsi="宋体"/>
                <w:color w:val="000000" w:themeColor="text1"/>
                <w:szCs w:val="21"/>
              </w:rPr>
              <w:t>2</w:t>
            </w:r>
            <w:r>
              <w:rPr>
                <w:rFonts w:hint="eastAsia" w:ascii="宋体" w:hAnsi="宋体"/>
                <w:color w:val="000000" w:themeColor="text1"/>
                <w:szCs w:val="21"/>
              </w:rPr>
              <w:t>分。</w:t>
            </w:r>
          </w:p>
          <w:p w14:paraId="4432A0C9">
            <w:pPr>
              <w:spacing w:line="360" w:lineRule="auto"/>
              <w:rPr>
                <w:rFonts w:ascii="宋体" w:hAnsi="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投标人需要提供设备设计使用寿命的说明书或铭牌等佐证材料，评分的最大质保期不超过设备设计使用寿命。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rPr>
              <w:t>1</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rPr>
              <w:t>5</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7278B923">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6" w:name="_Toc132309531"/>
      <w:bookmarkStart w:id="37" w:name="_Toc168582607"/>
      <w:bookmarkStart w:id="38" w:name="_Toc521602503"/>
      <w:r>
        <w:rPr>
          <w:rFonts w:hint="eastAsia"/>
          <w:color w:val="000000" w:themeColor="text1"/>
        </w:rPr>
        <w:t>第四章  项目需求</w:t>
      </w:r>
      <w:bookmarkEnd w:id="36"/>
      <w:bookmarkEnd w:id="37"/>
      <w:bookmarkEnd w:id="38"/>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b/>
          <w:color w:val="000000" w:themeColor="text1"/>
          <w:szCs w:val="21"/>
        </w:rPr>
      </w:pPr>
      <w:r>
        <w:rPr>
          <w:rFonts w:hint="eastAsia"/>
          <w:color w:val="000000" w:themeColor="text1"/>
          <w:kern w:val="0"/>
          <w:szCs w:val="21"/>
        </w:rPr>
        <w:t>（一）采购需求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92"/>
        <w:gridCol w:w="2976"/>
        <w:gridCol w:w="1134"/>
        <w:gridCol w:w="2157"/>
      </w:tblGrid>
      <w:tr w14:paraId="12FC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37E37E3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892" w:type="dxa"/>
            <w:shd w:val="clear" w:color="auto" w:fill="auto"/>
            <w:vAlign w:val="center"/>
          </w:tcPr>
          <w:p w14:paraId="2D6D0A1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76" w:type="dxa"/>
            <w:shd w:val="clear" w:color="auto" w:fill="auto"/>
            <w:vAlign w:val="center"/>
          </w:tcPr>
          <w:p w14:paraId="4B28406F">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134" w:type="dxa"/>
            <w:vAlign w:val="center"/>
          </w:tcPr>
          <w:p w14:paraId="623CD1BE">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57" w:type="dxa"/>
            <w:vAlign w:val="center"/>
          </w:tcPr>
          <w:p w14:paraId="524743AF">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616F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8D5F2D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892" w:type="dxa"/>
            <w:shd w:val="clear" w:color="auto" w:fill="auto"/>
            <w:vAlign w:val="center"/>
          </w:tcPr>
          <w:p w14:paraId="42D11D4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检验科</w:t>
            </w:r>
          </w:p>
        </w:tc>
        <w:tc>
          <w:tcPr>
            <w:tcW w:w="2976" w:type="dxa"/>
            <w:shd w:val="clear" w:color="auto" w:fill="auto"/>
            <w:vAlign w:val="center"/>
          </w:tcPr>
          <w:p w14:paraId="6B5C4504">
            <w:pPr>
              <w:widowControl/>
              <w:jc w:val="center"/>
              <w:textAlignment w:val="center"/>
              <w:rPr>
                <w:rFonts w:ascii="宋体" w:hAnsi="宋体" w:cs="宋体"/>
                <w:color w:val="000000"/>
                <w:szCs w:val="21"/>
              </w:rPr>
            </w:pPr>
            <w:r>
              <w:rPr>
                <w:rFonts w:hint="eastAsia" w:ascii="宋体" w:hAnsi="宋体" w:cs="宋体"/>
                <w:color w:val="000000"/>
                <w:szCs w:val="21"/>
              </w:rPr>
              <w:t>核酸扩增检测分析仪</w:t>
            </w:r>
          </w:p>
        </w:tc>
        <w:tc>
          <w:tcPr>
            <w:tcW w:w="1134" w:type="dxa"/>
            <w:shd w:val="clear" w:color="auto" w:fill="auto"/>
            <w:vAlign w:val="center"/>
          </w:tcPr>
          <w:p w14:paraId="4DD094B3">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套</w:t>
            </w:r>
          </w:p>
        </w:tc>
        <w:tc>
          <w:tcPr>
            <w:tcW w:w="2157" w:type="dxa"/>
            <w:shd w:val="clear" w:color="auto" w:fill="auto"/>
            <w:vAlign w:val="center"/>
          </w:tcPr>
          <w:p w14:paraId="55E586BF">
            <w:pPr>
              <w:widowControl/>
              <w:spacing w:line="24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含配套试剂耗材</w:t>
            </w:r>
          </w:p>
        </w:tc>
      </w:tr>
    </w:tbl>
    <w:p w14:paraId="641D16B1">
      <w:pPr>
        <w:pStyle w:val="32"/>
        <w:spacing w:after="0" w:line="360" w:lineRule="auto"/>
        <w:ind w:left="0" w:leftChars="0"/>
        <w:rPr>
          <w:rFonts w:ascii="宋体" w:hAnsi="宋体" w:eastAsia="宋体" w:cs="宋体"/>
          <w:color w:val="000000" w:themeColor="text1"/>
          <w:kern w:val="0"/>
          <w:szCs w:val="21"/>
        </w:rPr>
      </w:pPr>
    </w:p>
    <w:p w14:paraId="08E2F442">
      <w:pPr>
        <w:pStyle w:val="32"/>
        <w:spacing w:after="0" w:line="360" w:lineRule="auto"/>
        <w:ind w:left="0" w:leftChars="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（二）</w:t>
      </w:r>
      <w:r>
        <w:rPr>
          <w:rFonts w:hint="eastAsia" w:ascii="宋体" w:hAnsi="宋体" w:eastAsia="宋体" w:cs="宋体"/>
          <w:color w:val="000000"/>
          <w:szCs w:val="21"/>
        </w:rPr>
        <w:t>核酸扩增检测分析仪</w:t>
      </w:r>
      <w:r>
        <w:rPr>
          <w:rFonts w:hint="eastAsia" w:ascii="宋体" w:hAnsi="宋体" w:eastAsia="宋体" w:cs="宋体"/>
          <w:color w:val="000000" w:themeColor="text1"/>
          <w:kern w:val="0"/>
          <w:szCs w:val="21"/>
        </w:rPr>
        <w:t>配套试剂耗材需求</w:t>
      </w:r>
    </w:p>
    <w:p w14:paraId="00CF45C7">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rPr>
        <w:t>1、</w:t>
      </w:r>
      <w:r>
        <w:rPr>
          <w:rFonts w:hint="eastAsia" w:ascii="宋体" w:hAnsi="宋体" w:cs="宋体"/>
          <w:color w:val="000000" w:themeColor="text1"/>
          <w:szCs w:val="21"/>
          <w:highlight w:val="none"/>
        </w:rPr>
        <w:t>检测试剂包含但不限于：甲型</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乙型流感病毒核酸检测试剂、肺炎支原体核酸检测试剂、结核分枝杆菌核酸检测试剂、百日咳杆菌核酸检测试剂、新型冠状病毒核酸检测试剂、沙眼衣原体核酸检测试剂</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生殖支原体核酸检测试剂等。</w:t>
      </w:r>
    </w:p>
    <w:p w14:paraId="1F493F6F">
      <w:pPr>
        <w:spacing w:line="360" w:lineRule="auto"/>
        <w:ind w:firstLine="420" w:firstLineChars="200"/>
        <w:rPr>
          <w:rFonts w:ascii="宋体" w:hAnsi="宋体" w:cs="宋体"/>
          <w:szCs w:val="21"/>
          <w:highlight w:val="none"/>
        </w:rPr>
      </w:pPr>
      <w:r>
        <w:rPr>
          <w:rFonts w:hint="eastAsia" w:ascii="宋体" w:hAnsi="宋体" w:cs="宋体"/>
          <w:szCs w:val="21"/>
          <w:highlight w:val="none"/>
        </w:rPr>
        <w:t>2、试剂规格型号：与设备匹配</w:t>
      </w:r>
    </w:p>
    <w:p w14:paraId="6F7B97CB">
      <w:pPr>
        <w:spacing w:line="360" w:lineRule="auto"/>
        <w:ind w:firstLine="420" w:firstLineChars="200"/>
        <w:rPr>
          <w:rFonts w:ascii="宋体" w:hAnsi="宋体" w:cs="宋体"/>
          <w:szCs w:val="21"/>
        </w:rPr>
      </w:pPr>
      <w:r>
        <w:rPr>
          <w:rFonts w:hint="eastAsia" w:ascii="宋体" w:hAnsi="宋体" w:cs="宋体"/>
          <w:szCs w:val="21"/>
        </w:rPr>
        <w:t>3、需求数量：按实际需求采购。</w:t>
      </w:r>
    </w:p>
    <w:p w14:paraId="4E408C3E">
      <w:pPr>
        <w:spacing w:line="360" w:lineRule="auto"/>
        <w:ind w:firstLine="420" w:firstLineChars="200"/>
        <w:rPr>
          <w:rFonts w:ascii="宋体" w:hAnsi="宋体" w:cs="宋体"/>
          <w:szCs w:val="21"/>
        </w:rPr>
      </w:pPr>
      <w:r>
        <w:rPr>
          <w:rFonts w:hint="eastAsia" w:cs="宋体" w:asciiTheme="minorEastAsia" w:hAnsiTheme="minorEastAsia"/>
          <w:color w:val="000000" w:themeColor="text1"/>
          <w:szCs w:val="21"/>
          <w:shd w:val="clear" w:color="auto" w:fill="FFFFFF"/>
        </w:rPr>
        <w:t>4、配套试剂</w:t>
      </w:r>
      <w:r>
        <w:rPr>
          <w:rFonts w:hint="eastAsia" w:asciiTheme="minorEastAsia" w:hAnsiTheme="minorEastAsia"/>
          <w:color w:val="000000" w:themeColor="text1"/>
          <w:szCs w:val="21"/>
          <w:shd w:val="clear" w:color="auto" w:fill="FFFFFF"/>
        </w:rPr>
        <w:t>必须是江苏省药品耗材招采管理系统中标产品</w:t>
      </w:r>
      <w:r>
        <w:rPr>
          <w:rFonts w:hint="eastAsia" w:cs="宋体" w:asciiTheme="minorEastAsia" w:hAnsiTheme="minorEastAsia"/>
          <w:color w:val="000000" w:themeColor="text1"/>
          <w:szCs w:val="21"/>
          <w:shd w:val="clear" w:color="auto" w:fill="FFFFFF"/>
        </w:rPr>
        <w:t>。</w:t>
      </w: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cs="宋体"/>
                <w:szCs w:val="21"/>
              </w:rPr>
            </w:pPr>
            <w:r>
              <w:rPr>
                <w:rFonts w:hint="eastAsia" w:ascii="宋体" w:hAnsi="宋体" w:cs="宋体"/>
                <w:szCs w:val="21"/>
              </w:rPr>
              <w:t>★</w:t>
            </w: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hint="eastAsia" w:ascii="宋体" w:hAnsi="宋体" w:eastAsia="宋体" w:cs="宋体"/>
                <w:color w:val="000000"/>
                <w:szCs w:val="21"/>
                <w:highlight w:val="none"/>
                <w:shd w:val="clear" w:color="auto" w:fill="FFFFFF"/>
                <w:lang w:eastAsia="zh-CN"/>
              </w:rPr>
            </w:pPr>
            <w:r>
              <w:rPr>
                <w:rFonts w:hint="eastAsia" w:ascii="宋体" w:hAnsi="宋体" w:eastAsia="宋体" w:cs="宋体"/>
                <w:color w:val="000000"/>
                <w:szCs w:val="21"/>
                <w:highlight w:val="none"/>
                <w:shd w:val="clear" w:color="auto" w:fill="FFFFFF"/>
              </w:rPr>
              <w:t>适用范围：</w:t>
            </w:r>
            <w:r>
              <w:rPr>
                <w:rFonts w:hint="eastAsia" w:ascii="宋体" w:hAnsi="宋体" w:eastAsia="宋体" w:cs="宋体"/>
                <w:color w:val="000000"/>
                <w:szCs w:val="21"/>
                <w:highlight w:val="none"/>
                <w:shd w:val="clear" w:color="auto" w:fill="FFFFFF"/>
                <w:lang w:val="en-US" w:eastAsia="zh-CN"/>
              </w:rPr>
              <w:t>适用于</w:t>
            </w:r>
            <w:r>
              <w:rPr>
                <w:rFonts w:hint="eastAsia" w:ascii="宋体" w:hAnsi="宋体" w:eastAsia="宋体" w:cs="宋体"/>
                <w:color w:val="000000"/>
                <w:szCs w:val="21"/>
                <w:highlight w:val="none"/>
                <w:shd w:val="clear" w:color="auto" w:fill="FFFFFF"/>
              </w:rPr>
              <w:t>呼吸道项目（包含但不限于甲</w:t>
            </w:r>
            <w:r>
              <w:rPr>
                <w:rFonts w:hint="eastAsia" w:ascii="宋体" w:hAnsi="宋体" w:cs="宋体"/>
                <w:color w:val="000000"/>
                <w:szCs w:val="21"/>
                <w:highlight w:val="none"/>
                <w:shd w:val="clear" w:color="auto" w:fill="FFFFFF"/>
                <w:lang w:val="en-US" w:eastAsia="zh-CN"/>
              </w:rPr>
              <w:t>/</w:t>
            </w:r>
            <w:r>
              <w:rPr>
                <w:rFonts w:hint="eastAsia" w:ascii="宋体" w:hAnsi="宋体" w:eastAsia="宋体" w:cs="宋体"/>
                <w:color w:val="000000"/>
                <w:szCs w:val="21"/>
                <w:highlight w:val="none"/>
                <w:shd w:val="clear" w:color="auto" w:fill="FFFFFF"/>
              </w:rPr>
              <w:t>乙流、肺炎支原体、百日咳、新冠等）和生殖</w:t>
            </w:r>
            <w:r>
              <w:rPr>
                <w:rFonts w:hint="eastAsia" w:ascii="宋体" w:hAnsi="宋体" w:eastAsia="宋体" w:cs="宋体"/>
                <w:color w:val="000000"/>
                <w:szCs w:val="21"/>
                <w:highlight w:val="none"/>
                <w:shd w:val="clear" w:color="auto" w:fill="FFFFFF"/>
                <w:lang w:val="en-US" w:eastAsia="zh-CN"/>
              </w:rPr>
              <w:t>道</w:t>
            </w:r>
            <w:r>
              <w:rPr>
                <w:rFonts w:hint="eastAsia" w:ascii="宋体" w:hAnsi="宋体" w:eastAsia="宋体" w:cs="宋体"/>
                <w:color w:val="000000"/>
                <w:szCs w:val="21"/>
                <w:highlight w:val="none"/>
                <w:shd w:val="clear" w:color="auto" w:fill="FFFFFF"/>
              </w:rPr>
              <w:t>项目（包含但不限于沙眼衣原体</w:t>
            </w:r>
            <w:r>
              <w:rPr>
                <w:rFonts w:hint="eastAsia" w:ascii="宋体" w:hAnsi="宋体" w:cs="宋体"/>
                <w:color w:val="000000"/>
                <w:szCs w:val="21"/>
                <w:highlight w:val="none"/>
                <w:shd w:val="clear" w:color="auto" w:fill="FFFFFF"/>
                <w:lang w:eastAsia="zh-CN"/>
              </w:rPr>
              <w:t>、</w:t>
            </w:r>
            <w:r>
              <w:rPr>
                <w:rFonts w:hint="eastAsia" w:ascii="宋体" w:hAnsi="宋体" w:eastAsia="宋体" w:cs="宋体"/>
                <w:color w:val="000000"/>
                <w:kern w:val="0"/>
                <w:sz w:val="21"/>
                <w:szCs w:val="21"/>
                <w:highlight w:val="none"/>
              </w:rPr>
              <w:t>生殖支原体</w:t>
            </w:r>
            <w:r>
              <w:rPr>
                <w:rFonts w:hint="eastAsia" w:ascii="宋体" w:hAnsi="宋体" w:eastAsia="宋体" w:cs="宋体"/>
                <w:color w:val="000000"/>
                <w:sz w:val="21"/>
                <w:szCs w:val="21"/>
                <w:highlight w:val="none"/>
                <w:shd w:val="clear" w:color="auto" w:fill="FFFFFF"/>
              </w:rPr>
              <w:t>等）等项目检测。</w:t>
            </w:r>
            <w:r>
              <w:rPr>
                <w:rFonts w:hint="eastAsia" w:ascii="宋体" w:hAnsi="宋体" w:cs="宋体"/>
                <w:color w:val="000000"/>
                <w:sz w:val="21"/>
                <w:szCs w:val="21"/>
                <w:highlight w:val="none"/>
                <w:shd w:val="clear" w:color="auto" w:fill="FFFFFF"/>
                <w:lang w:eastAsia="zh-CN"/>
              </w:rPr>
              <w:t>（</w:t>
            </w:r>
            <w:r>
              <w:rPr>
                <w:rFonts w:hint="eastAsia" w:ascii="宋体" w:hAnsi="宋体" w:cs="宋体"/>
                <w:color w:val="000000"/>
                <w:sz w:val="21"/>
                <w:szCs w:val="21"/>
                <w:highlight w:val="none"/>
                <w:shd w:val="clear" w:color="auto" w:fill="FFFFFF"/>
                <w:lang w:val="en-US" w:eastAsia="zh-CN"/>
              </w:rPr>
              <w:t>提供公开发行的彩页或说明书中的检测项目清单</w:t>
            </w:r>
            <w:r>
              <w:rPr>
                <w:rFonts w:hint="eastAsia" w:ascii="宋体" w:hAnsi="宋体" w:cs="宋体"/>
                <w:color w:val="000000"/>
                <w:sz w:val="21"/>
                <w:szCs w:val="21"/>
                <w:highlight w:val="none"/>
                <w:shd w:val="clear" w:color="auto" w:fill="FFFFFF"/>
                <w:lang w:eastAsia="zh-CN"/>
              </w:rPr>
              <w:t>）</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rPr>
                <w:rFonts w:hint="eastAsia" w:ascii="宋体" w:hAnsi="宋体" w:eastAsia="宋体" w:cs="宋体"/>
                <w:color w:val="000000"/>
                <w:szCs w:val="21"/>
                <w:highlight w:val="yellow"/>
                <w:shd w:val="clear" w:color="auto" w:fill="FFFFFF"/>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主要配置：检测主机、电脑</w:t>
            </w:r>
            <w:r>
              <w:rPr>
                <w:rFonts w:hint="eastAsia" w:ascii="宋体" w:hAnsi="宋体" w:cs="宋体"/>
                <w:color w:val="000000"/>
                <w:szCs w:val="21"/>
                <w:shd w:val="clear" w:color="auto" w:fill="FFFFFF"/>
                <w:lang w:eastAsia="zh-CN"/>
              </w:rPr>
              <w:t>、</w:t>
            </w:r>
            <w:r>
              <w:rPr>
                <w:rFonts w:hint="eastAsia" w:ascii="宋体" w:hAnsi="宋体" w:cs="宋体"/>
                <w:color w:val="000000"/>
                <w:szCs w:val="21"/>
                <w:shd w:val="clear" w:color="auto" w:fill="FFFFFF"/>
                <w:lang w:val="en-US" w:eastAsia="zh-CN"/>
              </w:rPr>
              <w:t>配套试剂</w:t>
            </w:r>
            <w:r>
              <w:rPr>
                <w:rFonts w:hint="eastAsia" w:ascii="宋体" w:hAnsi="宋体" w:cs="宋体"/>
                <w:color w:val="000000"/>
                <w:szCs w:val="21"/>
                <w:shd w:val="clear" w:color="auto" w:fill="FFFFFF"/>
              </w:rPr>
              <w:t>等</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4A0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728C57">
            <w:pPr>
              <w:widowControl/>
              <w:jc w:val="center"/>
              <w:textAlignment w:val="bottom"/>
              <w:rPr>
                <w:rFonts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9F8D035">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检测要求：POCT检测设备，</w:t>
            </w:r>
            <w:r>
              <w:rPr>
                <w:rFonts w:hint="eastAsia" w:ascii="宋体" w:hAnsi="宋体" w:cs="宋体"/>
                <w:color w:val="000000"/>
                <w:kern w:val="0"/>
                <w:szCs w:val="21"/>
                <w:lang w:bidi="ar"/>
              </w:rPr>
              <w:t>核酸提取、扩增、检测</w:t>
            </w:r>
            <w:r>
              <w:rPr>
                <w:rFonts w:hint="eastAsia" w:ascii="宋体" w:hAnsi="宋体" w:cs="宋体"/>
                <w:color w:val="000000"/>
                <w:kern w:val="0"/>
                <w:szCs w:val="21"/>
                <w:lang w:val="en-US" w:eastAsia="zh-CN" w:bidi="ar"/>
              </w:rPr>
              <w:t>在设备上</w:t>
            </w:r>
            <w:r>
              <w:rPr>
                <w:rFonts w:hint="eastAsia" w:ascii="宋体" w:hAnsi="宋体" w:cs="宋体"/>
                <w:color w:val="000000"/>
                <w:szCs w:val="21"/>
                <w:shd w:val="clear" w:color="auto" w:fill="FFFFFF"/>
              </w:rPr>
              <w:t>自动完成，可以快速完成样本检测和出结果。</w:t>
            </w:r>
          </w:p>
        </w:tc>
        <w:tc>
          <w:tcPr>
            <w:tcW w:w="914" w:type="dxa"/>
            <w:tcBorders>
              <w:top w:val="single" w:color="auto" w:sz="4" w:space="0"/>
              <w:left w:val="single" w:color="auto" w:sz="4" w:space="0"/>
              <w:bottom w:val="single" w:color="auto" w:sz="4" w:space="0"/>
              <w:right w:val="single" w:color="auto" w:sz="4" w:space="0"/>
            </w:tcBorders>
            <w:vAlign w:val="center"/>
          </w:tcPr>
          <w:p w14:paraId="4F8FA0EA">
            <w:pPr>
              <w:widowControl/>
              <w:jc w:val="center"/>
              <w:textAlignment w:val="center"/>
              <w:rPr>
                <w:rFonts w:ascii="宋体" w:hAnsi="宋体" w:cs="宋体"/>
                <w:color w:val="000000" w:themeColor="text1"/>
                <w:kern w:val="0"/>
                <w:szCs w:val="21"/>
              </w:rPr>
            </w:pPr>
          </w:p>
        </w:tc>
      </w:tr>
      <w:tr w14:paraId="1B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AB7E6BB">
            <w:pPr>
              <w:widowControl/>
              <w:jc w:val="center"/>
              <w:textAlignment w:val="bottom"/>
              <w:rPr>
                <w:rFonts w:ascii="宋体" w:hAnsi="宋体" w:cs="宋体"/>
                <w:szCs w:val="21"/>
              </w:rPr>
            </w:pPr>
            <w:r>
              <w:rPr>
                <w:rFonts w:hint="eastAsia" w:ascii="宋体" w:hAnsi="宋体" w:cs="宋体"/>
                <w:szCs w:val="21"/>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4B8A632">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适用样本类型：咽拭子、痰液、生殖道拭子、尿液等样本</w:t>
            </w:r>
          </w:p>
        </w:tc>
        <w:tc>
          <w:tcPr>
            <w:tcW w:w="914" w:type="dxa"/>
            <w:tcBorders>
              <w:top w:val="single" w:color="auto" w:sz="4" w:space="0"/>
              <w:left w:val="single" w:color="auto" w:sz="4" w:space="0"/>
              <w:bottom w:val="single" w:color="auto" w:sz="4" w:space="0"/>
              <w:right w:val="single" w:color="auto" w:sz="4" w:space="0"/>
            </w:tcBorders>
            <w:vAlign w:val="center"/>
          </w:tcPr>
          <w:p w14:paraId="3E0E6EF5">
            <w:pPr>
              <w:widowControl/>
              <w:jc w:val="center"/>
              <w:textAlignment w:val="center"/>
              <w:rPr>
                <w:rFonts w:ascii="宋体" w:hAnsi="宋体" w:cs="宋体"/>
                <w:color w:val="000000" w:themeColor="text1"/>
                <w:kern w:val="0"/>
                <w:szCs w:val="21"/>
              </w:rPr>
            </w:pPr>
          </w:p>
        </w:tc>
      </w:tr>
      <w:tr w14:paraId="2D7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5005B1E">
            <w:pPr>
              <w:widowControl/>
              <w:jc w:val="center"/>
              <w:textAlignment w:val="bottom"/>
              <w:rPr>
                <w:rFonts w:ascii="宋体" w:hAnsi="宋体" w:cs="宋体"/>
                <w:szCs w:val="21"/>
              </w:rPr>
            </w:pPr>
            <w:r>
              <w:rPr>
                <w:rFonts w:hint="eastAsia" w:ascii="宋体" w:hAnsi="宋体" w:cs="宋体"/>
                <w:szCs w:val="21"/>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F8D11E">
            <w:pPr>
              <w:widowControl/>
              <w:rPr>
                <w:rFonts w:ascii="宋体" w:hAnsi="宋体" w:cs="宋体"/>
                <w:color w:val="000000" w:themeColor="text1"/>
                <w:szCs w:val="21"/>
                <w:highlight w:val="yellow"/>
                <w:shd w:val="clear" w:color="auto" w:fill="FFFFFF"/>
              </w:rPr>
            </w:pPr>
            <w:r>
              <w:rPr>
                <w:rFonts w:hint="eastAsia" w:ascii="宋体" w:hAnsi="宋体" w:cs="宋体"/>
                <w:color w:val="000000"/>
                <w:szCs w:val="21"/>
                <w:shd w:val="clear" w:color="auto" w:fill="FFFFFF"/>
              </w:rPr>
              <w:t>检测通量≥8个</w:t>
            </w:r>
          </w:p>
        </w:tc>
        <w:tc>
          <w:tcPr>
            <w:tcW w:w="914" w:type="dxa"/>
            <w:tcBorders>
              <w:top w:val="single" w:color="auto" w:sz="4" w:space="0"/>
              <w:left w:val="single" w:color="auto" w:sz="4" w:space="0"/>
              <w:bottom w:val="single" w:color="auto" w:sz="4" w:space="0"/>
              <w:right w:val="single" w:color="auto" w:sz="4" w:space="0"/>
            </w:tcBorders>
            <w:vAlign w:val="center"/>
          </w:tcPr>
          <w:p w14:paraId="51ACA285">
            <w:pPr>
              <w:widowControl/>
              <w:jc w:val="center"/>
              <w:textAlignment w:val="center"/>
              <w:rPr>
                <w:rFonts w:ascii="宋体" w:hAnsi="宋体" w:cs="宋体"/>
                <w:color w:val="000000" w:themeColor="text1"/>
                <w:kern w:val="0"/>
                <w:szCs w:val="21"/>
              </w:rPr>
            </w:pPr>
          </w:p>
        </w:tc>
      </w:tr>
      <w:tr w14:paraId="38E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A0A7C9C">
            <w:pPr>
              <w:widowControl/>
              <w:jc w:val="center"/>
              <w:textAlignment w:val="bottom"/>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6F2EB67">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检测模块：有独立</w:t>
            </w:r>
            <w:r>
              <w:rPr>
                <w:rFonts w:hint="eastAsia" w:ascii="宋体" w:hAnsi="宋体" w:cs="宋体"/>
                <w:color w:val="000000"/>
                <w:szCs w:val="21"/>
                <w:shd w:val="clear" w:color="auto" w:fill="FFFFFF"/>
                <w:lang w:val="en-US" w:eastAsia="zh-CN"/>
              </w:rPr>
              <w:t>检测</w:t>
            </w:r>
            <w:r>
              <w:rPr>
                <w:rFonts w:hint="eastAsia" w:ascii="宋体" w:hAnsi="宋体" w:cs="宋体"/>
                <w:color w:val="000000"/>
                <w:szCs w:val="21"/>
                <w:shd w:val="clear" w:color="auto" w:fill="FFFFFF"/>
              </w:rPr>
              <w:t>模块，可实现随到随检。</w:t>
            </w:r>
          </w:p>
        </w:tc>
        <w:tc>
          <w:tcPr>
            <w:tcW w:w="914" w:type="dxa"/>
            <w:tcBorders>
              <w:top w:val="single" w:color="auto" w:sz="4" w:space="0"/>
              <w:left w:val="single" w:color="auto" w:sz="4" w:space="0"/>
              <w:bottom w:val="single" w:color="auto" w:sz="4" w:space="0"/>
              <w:right w:val="single" w:color="auto" w:sz="4" w:space="0"/>
            </w:tcBorders>
            <w:vAlign w:val="center"/>
          </w:tcPr>
          <w:p w14:paraId="24527E74">
            <w:pPr>
              <w:widowControl/>
              <w:jc w:val="center"/>
              <w:textAlignment w:val="center"/>
              <w:rPr>
                <w:rFonts w:ascii="宋体" w:hAnsi="宋体" w:cs="宋体"/>
                <w:color w:val="000000" w:themeColor="text1"/>
                <w:kern w:val="0"/>
                <w:szCs w:val="21"/>
              </w:rPr>
            </w:pPr>
          </w:p>
        </w:tc>
      </w:tr>
      <w:tr w14:paraId="68C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1AC9222">
            <w:pPr>
              <w:widowControl/>
              <w:jc w:val="center"/>
              <w:textAlignment w:val="bottom"/>
              <w:rPr>
                <w:rFonts w:ascii="宋体" w:hAnsi="宋体" w:cs="宋体"/>
                <w:color w:val="000000"/>
                <w:szCs w:val="21"/>
              </w:rPr>
            </w:pPr>
            <w:r>
              <w:rPr>
                <w:rFonts w:hint="eastAsia" w:ascii="宋体" w:hAnsi="宋体" w:cs="宋体"/>
                <w:color w:val="000000"/>
                <w:szCs w:val="21"/>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AF7026">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温度控制范围：40℃～95℃；</w:t>
            </w:r>
          </w:p>
        </w:tc>
        <w:tc>
          <w:tcPr>
            <w:tcW w:w="914" w:type="dxa"/>
            <w:tcBorders>
              <w:top w:val="single" w:color="auto" w:sz="4" w:space="0"/>
              <w:left w:val="single" w:color="auto" w:sz="4" w:space="0"/>
              <w:bottom w:val="single" w:color="auto" w:sz="4" w:space="0"/>
              <w:right w:val="single" w:color="auto" w:sz="4" w:space="0"/>
            </w:tcBorders>
            <w:vAlign w:val="center"/>
          </w:tcPr>
          <w:p w14:paraId="28FF7140">
            <w:pPr>
              <w:widowControl/>
              <w:jc w:val="center"/>
              <w:textAlignment w:val="center"/>
              <w:rPr>
                <w:rFonts w:ascii="宋体" w:hAnsi="宋体" w:cs="宋体"/>
                <w:color w:val="000000" w:themeColor="text1"/>
                <w:kern w:val="0"/>
                <w:szCs w:val="21"/>
              </w:rPr>
            </w:pPr>
          </w:p>
        </w:tc>
      </w:tr>
      <w:tr w14:paraId="0D4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1FD1595">
            <w:pPr>
              <w:widowControl/>
              <w:jc w:val="center"/>
              <w:textAlignment w:val="bottom"/>
              <w:rPr>
                <w:rFonts w:ascii="宋体" w:hAnsi="宋体" w:cs="宋体"/>
                <w:color w:val="000000"/>
                <w:szCs w:val="21"/>
              </w:rPr>
            </w:pPr>
            <w:r>
              <w:rPr>
                <w:rFonts w:hint="eastAsia" w:ascii="宋体" w:hAnsi="宋体" w:cs="宋体"/>
                <w:color w:val="000000"/>
                <w:szCs w:val="21"/>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641AFCC">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升温速率≥0.5℃/s</w:t>
            </w:r>
          </w:p>
        </w:tc>
        <w:tc>
          <w:tcPr>
            <w:tcW w:w="914" w:type="dxa"/>
            <w:tcBorders>
              <w:top w:val="single" w:color="auto" w:sz="4" w:space="0"/>
              <w:left w:val="single" w:color="auto" w:sz="4" w:space="0"/>
              <w:bottom w:val="single" w:color="auto" w:sz="4" w:space="0"/>
              <w:right w:val="single" w:color="auto" w:sz="4" w:space="0"/>
            </w:tcBorders>
            <w:vAlign w:val="center"/>
          </w:tcPr>
          <w:p w14:paraId="6DC67796">
            <w:pPr>
              <w:widowControl/>
              <w:jc w:val="center"/>
              <w:textAlignment w:val="center"/>
              <w:rPr>
                <w:rFonts w:ascii="宋体" w:hAnsi="宋体" w:cs="宋体"/>
                <w:color w:val="000000" w:themeColor="text1"/>
                <w:kern w:val="0"/>
                <w:szCs w:val="21"/>
              </w:rPr>
            </w:pPr>
          </w:p>
        </w:tc>
      </w:tr>
      <w:tr w14:paraId="03B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B2EDA04">
            <w:pPr>
              <w:widowControl/>
              <w:jc w:val="center"/>
              <w:textAlignment w:val="bottom"/>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ADE278">
            <w:pPr>
              <w:widowControl/>
              <w:rPr>
                <w:rFonts w:ascii="宋体" w:hAnsi="宋体" w:cs="宋体"/>
                <w:color w:val="000000" w:themeColor="text1"/>
                <w:szCs w:val="21"/>
                <w:shd w:val="clear" w:color="auto" w:fill="FFFFFF"/>
              </w:rPr>
            </w:pPr>
            <w:r>
              <w:rPr>
                <w:rFonts w:hint="eastAsia" w:ascii="宋体" w:hAnsi="宋体" w:cs="宋体"/>
                <w:color w:val="000000"/>
                <w:szCs w:val="21"/>
                <w:shd w:val="clear" w:color="auto" w:fill="FFFFFF"/>
              </w:rPr>
              <w:t>检测重复性CV≤3%</w:t>
            </w:r>
          </w:p>
        </w:tc>
        <w:tc>
          <w:tcPr>
            <w:tcW w:w="914" w:type="dxa"/>
            <w:tcBorders>
              <w:top w:val="single" w:color="auto" w:sz="4" w:space="0"/>
              <w:left w:val="single" w:color="auto" w:sz="4" w:space="0"/>
              <w:bottom w:val="single" w:color="auto" w:sz="4" w:space="0"/>
              <w:right w:val="single" w:color="auto" w:sz="4" w:space="0"/>
            </w:tcBorders>
            <w:vAlign w:val="center"/>
          </w:tcPr>
          <w:p w14:paraId="11CFBFC8">
            <w:pPr>
              <w:widowControl/>
              <w:jc w:val="center"/>
              <w:textAlignment w:val="center"/>
              <w:rPr>
                <w:rFonts w:ascii="宋体" w:hAnsi="宋体" w:cs="宋体"/>
                <w:color w:val="000000" w:themeColor="text1"/>
                <w:kern w:val="0"/>
                <w:szCs w:val="21"/>
              </w:rPr>
            </w:pPr>
          </w:p>
        </w:tc>
      </w:tr>
      <w:tr w14:paraId="2654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E4C8DC5">
            <w:pPr>
              <w:widowControl/>
              <w:jc w:val="center"/>
              <w:textAlignment w:val="bottom"/>
              <w:rPr>
                <w:rFonts w:ascii="宋体" w:hAnsi="宋体" w:cs="宋体"/>
                <w:color w:val="000000"/>
                <w:szCs w:val="21"/>
              </w:rPr>
            </w:pPr>
            <w:r>
              <w:rPr>
                <w:rFonts w:hint="eastAsia" w:ascii="宋体" w:hAnsi="宋体" w:cs="宋体"/>
                <w:color w:val="000000"/>
                <w:szCs w:val="21"/>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41B97BE">
            <w:pPr>
              <w:widowControl/>
              <w:jc w:val="left"/>
              <w:textAlignment w:val="center"/>
              <w:rPr>
                <w:rFonts w:ascii="宋体" w:hAnsi="宋体" w:cs="宋体"/>
                <w:color w:val="000000"/>
                <w:kern w:val="0"/>
                <w:szCs w:val="21"/>
              </w:rPr>
            </w:pPr>
            <w:r>
              <w:rPr>
                <w:rFonts w:hint="eastAsia" w:ascii="宋体" w:hAnsi="宋体" w:cs="宋体"/>
                <w:color w:val="000000"/>
                <w:szCs w:val="21"/>
                <w:shd w:val="clear" w:color="auto" w:fill="FFFFFF"/>
              </w:rPr>
              <w:t>配置数据通讯接口</w:t>
            </w:r>
          </w:p>
        </w:tc>
        <w:tc>
          <w:tcPr>
            <w:tcW w:w="914" w:type="dxa"/>
            <w:tcBorders>
              <w:top w:val="single" w:color="auto" w:sz="4" w:space="0"/>
              <w:left w:val="single" w:color="auto" w:sz="4" w:space="0"/>
              <w:bottom w:val="single" w:color="auto" w:sz="4" w:space="0"/>
              <w:right w:val="single" w:color="auto" w:sz="4" w:space="0"/>
            </w:tcBorders>
            <w:vAlign w:val="center"/>
          </w:tcPr>
          <w:p w14:paraId="595F3270">
            <w:pPr>
              <w:widowControl/>
              <w:jc w:val="center"/>
              <w:textAlignment w:val="center"/>
              <w:rPr>
                <w:rFonts w:ascii="宋体" w:hAnsi="宋体" w:cs="宋体"/>
                <w:color w:val="000000" w:themeColor="text1"/>
                <w:kern w:val="0"/>
                <w:szCs w:val="21"/>
              </w:rPr>
            </w:pPr>
          </w:p>
        </w:tc>
      </w:tr>
      <w:tr w14:paraId="1D55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E548C6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874BF50">
            <w:pPr>
              <w:widowControl/>
              <w:jc w:val="left"/>
              <w:textAlignment w:val="center"/>
              <w:rPr>
                <w:rFonts w:ascii="宋体" w:hAnsi="宋体" w:cs="宋体"/>
                <w:color w:val="000000"/>
                <w:kern w:val="0"/>
                <w:szCs w:val="21"/>
              </w:rPr>
            </w:pPr>
            <w:r>
              <w:rPr>
                <w:rFonts w:hint="eastAsia" w:ascii="宋体" w:hAnsi="宋体" w:cs="宋体"/>
                <w:color w:val="000000"/>
                <w:kern w:val="0"/>
                <w:szCs w:val="21"/>
              </w:rPr>
              <w:t>电源电压：AC 220V，50Hz</w:t>
            </w:r>
          </w:p>
        </w:tc>
        <w:tc>
          <w:tcPr>
            <w:tcW w:w="914" w:type="dxa"/>
            <w:tcBorders>
              <w:top w:val="single" w:color="auto" w:sz="4" w:space="0"/>
              <w:left w:val="single" w:color="auto" w:sz="4" w:space="0"/>
              <w:bottom w:val="single" w:color="auto" w:sz="4" w:space="0"/>
              <w:right w:val="single" w:color="auto" w:sz="4" w:space="0"/>
            </w:tcBorders>
            <w:vAlign w:val="center"/>
          </w:tcPr>
          <w:p w14:paraId="2E170286">
            <w:pPr>
              <w:widowControl/>
              <w:jc w:val="center"/>
              <w:textAlignment w:val="center"/>
              <w:rPr>
                <w:rFonts w:ascii="宋体" w:hAnsi="宋体" w:cs="宋体"/>
                <w:color w:val="000000" w:themeColor="text1"/>
                <w:kern w:val="0"/>
                <w:szCs w:val="21"/>
              </w:rPr>
            </w:pPr>
          </w:p>
        </w:tc>
      </w:tr>
      <w:tr w14:paraId="62A4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2B02270">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B7A4FDE">
            <w:pPr>
              <w:widowControl/>
              <w:jc w:val="left"/>
              <w:textAlignment w:val="center"/>
              <w:rPr>
                <w:rFonts w:ascii="宋体" w:hAnsi="宋体" w:cs="宋体"/>
                <w:color w:val="000000"/>
                <w:kern w:val="0"/>
                <w:szCs w:val="21"/>
              </w:rPr>
            </w:pPr>
            <w:r>
              <w:rPr>
                <w:rFonts w:hint="eastAsia" w:ascii="宋体" w:hAnsi="宋体" w:cs="宋体"/>
                <w:color w:val="000000"/>
                <w:kern w:val="0"/>
                <w:szCs w:val="21"/>
              </w:rPr>
              <w:t>工作环境温度：室温</w:t>
            </w:r>
          </w:p>
        </w:tc>
        <w:tc>
          <w:tcPr>
            <w:tcW w:w="914" w:type="dxa"/>
            <w:tcBorders>
              <w:top w:val="single" w:color="auto" w:sz="4" w:space="0"/>
              <w:left w:val="single" w:color="auto" w:sz="4" w:space="0"/>
              <w:bottom w:val="single" w:color="auto" w:sz="4" w:space="0"/>
              <w:right w:val="single" w:color="auto" w:sz="4" w:space="0"/>
            </w:tcBorders>
            <w:vAlign w:val="center"/>
          </w:tcPr>
          <w:p w14:paraId="3DD9C0ED">
            <w:pPr>
              <w:widowControl/>
              <w:jc w:val="center"/>
              <w:textAlignment w:val="center"/>
              <w:rPr>
                <w:rFonts w:ascii="宋体" w:hAnsi="宋体" w:cs="宋体"/>
                <w:color w:val="000000" w:themeColor="text1"/>
                <w:kern w:val="0"/>
                <w:szCs w:val="21"/>
              </w:rPr>
            </w:pPr>
          </w:p>
        </w:tc>
      </w:tr>
      <w:tr w14:paraId="460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6B8103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5129DA4">
            <w:pPr>
              <w:widowControl/>
              <w:jc w:val="left"/>
              <w:textAlignment w:val="center"/>
              <w:rPr>
                <w:rFonts w:ascii="宋体" w:hAnsi="宋体" w:cs="宋体"/>
                <w:szCs w:val="21"/>
              </w:rPr>
            </w:pPr>
            <w:r>
              <w:rPr>
                <w:rFonts w:hint="eastAsia" w:ascii="宋体" w:hAnsi="宋体" w:cs="宋体"/>
                <w:color w:val="000000"/>
                <w:kern w:val="0"/>
                <w:szCs w:val="21"/>
              </w:rPr>
              <w:t>相对湿度：20%～85%</w:t>
            </w:r>
          </w:p>
        </w:tc>
        <w:tc>
          <w:tcPr>
            <w:tcW w:w="914" w:type="dxa"/>
            <w:tcBorders>
              <w:top w:val="single" w:color="auto" w:sz="4" w:space="0"/>
              <w:left w:val="single" w:color="auto" w:sz="4" w:space="0"/>
              <w:bottom w:val="single" w:color="auto" w:sz="4" w:space="0"/>
              <w:right w:val="single" w:color="auto" w:sz="4" w:space="0"/>
            </w:tcBorders>
            <w:vAlign w:val="center"/>
          </w:tcPr>
          <w:p w14:paraId="4221D820">
            <w:pPr>
              <w:widowControl/>
              <w:jc w:val="center"/>
              <w:textAlignment w:val="center"/>
              <w:rPr>
                <w:rFonts w:ascii="宋体" w:hAnsi="宋体" w:cs="宋体"/>
                <w:color w:val="000000" w:themeColor="text1"/>
                <w:kern w:val="0"/>
                <w:szCs w:val="21"/>
              </w:rPr>
            </w:pPr>
          </w:p>
        </w:tc>
      </w:tr>
      <w:tr w14:paraId="3A4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086EBE9">
            <w:pPr>
              <w:widowControl/>
              <w:jc w:val="center"/>
              <w:textAlignment w:val="center"/>
              <w:rPr>
                <w:rFonts w:ascii="宋体" w:hAnsi="宋体" w:cs="宋体"/>
                <w:szCs w:val="21"/>
              </w:rPr>
            </w:pPr>
            <w:r>
              <w:rPr>
                <w:rFonts w:hint="eastAsia" w:ascii="宋体" w:hAnsi="宋体" w:cs="宋体"/>
                <w:szCs w:val="21"/>
              </w:rPr>
              <w:t>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80D74DF">
            <w:pPr>
              <w:widowControl/>
              <w:jc w:val="left"/>
              <w:textAlignment w:val="center"/>
              <w:rPr>
                <w:rFonts w:ascii="宋体" w:hAnsi="宋体" w:cs="宋体"/>
                <w:color w:val="000000"/>
                <w:kern w:val="0"/>
                <w:szCs w:val="21"/>
              </w:rPr>
            </w:pPr>
            <w:r>
              <w:rPr>
                <w:rFonts w:hint="eastAsia" w:ascii="宋体" w:hAnsi="宋体" w:cs="宋体"/>
                <w:szCs w:val="21"/>
              </w:rPr>
              <w:t>存储温度：</w:t>
            </w:r>
            <w:r>
              <w:rPr>
                <w:rFonts w:hint="eastAsia" w:ascii="宋体" w:hAnsi="宋体" w:cs="宋体"/>
                <w:color w:val="000000"/>
                <w:szCs w:val="21"/>
                <w:shd w:val="clear" w:color="auto" w:fill="FFFFFF"/>
              </w:rPr>
              <w:t>-20℃～55℃；</w:t>
            </w:r>
          </w:p>
        </w:tc>
        <w:tc>
          <w:tcPr>
            <w:tcW w:w="914" w:type="dxa"/>
            <w:tcBorders>
              <w:top w:val="single" w:color="auto" w:sz="4" w:space="0"/>
              <w:left w:val="single" w:color="auto" w:sz="4" w:space="0"/>
              <w:bottom w:val="single" w:color="auto" w:sz="4" w:space="0"/>
              <w:right w:val="single" w:color="auto" w:sz="4" w:space="0"/>
            </w:tcBorders>
            <w:vAlign w:val="center"/>
          </w:tcPr>
          <w:p w14:paraId="1522F236">
            <w:pPr>
              <w:widowControl/>
              <w:jc w:val="center"/>
              <w:textAlignment w:val="center"/>
              <w:rPr>
                <w:rFonts w:ascii="宋体" w:hAnsi="宋体" w:cs="宋体"/>
                <w:color w:val="000000" w:themeColor="text1"/>
                <w:kern w:val="0"/>
                <w:szCs w:val="21"/>
              </w:rPr>
            </w:pPr>
          </w:p>
        </w:tc>
      </w:tr>
      <w:tr w14:paraId="4091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D56D4F0">
            <w:pPr>
              <w:widowControl/>
              <w:jc w:val="center"/>
              <w:textAlignment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33CC2F">
            <w:pPr>
              <w:widowControl/>
              <w:jc w:val="left"/>
              <w:textAlignment w:val="center"/>
              <w:rPr>
                <w:rFonts w:ascii="宋体" w:hAnsi="宋体" w:cs="宋体"/>
                <w:szCs w:val="21"/>
              </w:rPr>
            </w:pPr>
            <w:r>
              <w:rPr>
                <w:rFonts w:hint="eastAsia" w:ascii="宋体" w:hAnsi="宋体" w:cs="宋体"/>
                <w:kern w:val="0"/>
                <w:szCs w:val="21"/>
              </w:rPr>
              <w:t>电脑配置：显示器≥2</w:t>
            </w:r>
            <w:r>
              <w:rPr>
                <w:rFonts w:hint="eastAsia" w:ascii="宋体" w:hAnsi="宋体" w:cs="宋体"/>
                <w:kern w:val="0"/>
                <w:szCs w:val="21"/>
                <w:lang w:val="en-US" w:eastAsia="zh-CN"/>
              </w:rPr>
              <w:t>2</w:t>
            </w:r>
            <w:r>
              <w:rPr>
                <w:rFonts w:hint="eastAsia" w:ascii="宋体" w:hAnsi="宋体" w:cs="宋体"/>
                <w:kern w:val="0"/>
                <w:szCs w:val="21"/>
              </w:rPr>
              <w:t>英寸，处理器≥i</w:t>
            </w:r>
            <w:r>
              <w:rPr>
                <w:rFonts w:hint="eastAsia" w:ascii="宋体" w:hAnsi="宋体" w:cs="宋体"/>
                <w:kern w:val="0"/>
                <w:szCs w:val="21"/>
                <w:lang w:val="en-US" w:eastAsia="zh-CN"/>
              </w:rPr>
              <w:t>7（12代）</w:t>
            </w:r>
            <w:r>
              <w:rPr>
                <w:rFonts w:hint="eastAsia" w:ascii="宋体" w:hAnsi="宋体" w:cs="宋体"/>
                <w:kern w:val="0"/>
                <w:szCs w:val="21"/>
              </w:rPr>
              <w:t>或其他同级别的处理器、内存≥16G，固态硬盘≥1T。</w:t>
            </w:r>
          </w:p>
        </w:tc>
        <w:tc>
          <w:tcPr>
            <w:tcW w:w="914" w:type="dxa"/>
            <w:tcBorders>
              <w:top w:val="single" w:color="auto" w:sz="4" w:space="0"/>
              <w:left w:val="single" w:color="auto" w:sz="4" w:space="0"/>
              <w:bottom w:val="single" w:color="auto" w:sz="4" w:space="0"/>
              <w:right w:val="single" w:color="auto" w:sz="4" w:space="0"/>
            </w:tcBorders>
            <w:vAlign w:val="center"/>
          </w:tcPr>
          <w:p w14:paraId="292D0E7A">
            <w:pPr>
              <w:widowControl/>
              <w:jc w:val="center"/>
              <w:textAlignment w:val="center"/>
              <w:rPr>
                <w:rFonts w:ascii="宋体" w:hAnsi="宋体" w:cs="宋体"/>
                <w:color w:val="000000" w:themeColor="text1"/>
                <w:kern w:val="0"/>
                <w:szCs w:val="21"/>
              </w:rPr>
            </w:pPr>
          </w:p>
        </w:tc>
      </w:tr>
      <w:tr w14:paraId="0034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EFEB9AF">
            <w:pPr>
              <w:widowControl/>
              <w:jc w:val="center"/>
              <w:textAlignment w:val="center"/>
              <w:rPr>
                <w:rFonts w:ascii="宋体" w:hAnsi="宋体" w:cs="宋体"/>
                <w:szCs w:val="21"/>
              </w:rPr>
            </w:pPr>
            <w:r>
              <w:rPr>
                <w:rFonts w:hint="eastAsia" w:ascii="宋体" w:hAnsi="宋体" w:cs="宋体"/>
                <w:szCs w:val="21"/>
              </w:rPr>
              <w:t>★1</w:t>
            </w:r>
            <w:r>
              <w:rPr>
                <w:rFonts w:ascii="宋体" w:hAnsi="宋体" w:cs="宋体"/>
                <w:szCs w:val="21"/>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D2640FF">
            <w:pPr>
              <w:widowControl/>
              <w:jc w:val="left"/>
              <w:textAlignment w:val="center"/>
              <w:rPr>
                <w:rFonts w:ascii="宋体" w:hAnsi="宋体" w:cs="宋体"/>
                <w:kern w:val="0"/>
                <w:szCs w:val="21"/>
              </w:rPr>
            </w:pPr>
            <w:r>
              <w:rPr>
                <w:rFonts w:hint="eastAsia" w:ascii="宋体" w:hAnsi="宋体" w:cs="宋体"/>
                <w:color w:val="000000"/>
                <w:kern w:val="0"/>
                <w:szCs w:val="21"/>
              </w:rPr>
              <w:t>设备开放端口和协议，需要将设备连入我院LIS等信息化系统，并承担相关接口费。</w:t>
            </w:r>
          </w:p>
        </w:tc>
        <w:tc>
          <w:tcPr>
            <w:tcW w:w="914" w:type="dxa"/>
            <w:tcBorders>
              <w:top w:val="single" w:color="auto" w:sz="4" w:space="0"/>
              <w:left w:val="single" w:color="auto" w:sz="4" w:space="0"/>
              <w:bottom w:val="single" w:color="auto" w:sz="4" w:space="0"/>
              <w:right w:val="single" w:color="auto" w:sz="4" w:space="0"/>
            </w:tcBorders>
            <w:vAlign w:val="center"/>
          </w:tcPr>
          <w:p w14:paraId="2F9848FC">
            <w:pPr>
              <w:widowControl/>
              <w:jc w:val="center"/>
              <w:textAlignment w:val="center"/>
              <w:rPr>
                <w:rFonts w:ascii="宋体" w:hAnsi="宋体" w:cs="宋体"/>
                <w:color w:val="000000" w:themeColor="text1"/>
                <w:kern w:val="0"/>
                <w:szCs w:val="21"/>
              </w:rPr>
            </w:pPr>
          </w:p>
        </w:tc>
      </w:tr>
    </w:tbl>
    <w:p w14:paraId="4AD7558C">
      <w:pPr>
        <w:autoSpaceDE w:val="0"/>
        <w:autoSpaceDN w:val="0"/>
        <w:adjustRightInd w:val="0"/>
        <w:spacing w:line="360" w:lineRule="auto"/>
        <w:jc w:val="left"/>
        <w:rPr>
          <w:rFonts w:ascii="宋体" w:hAnsi="宋体"/>
          <w:b/>
          <w:color w:val="000000" w:themeColor="text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免费质量保证期≥3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73923DC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18、中标人免费将</w:t>
      </w:r>
      <w:r>
        <w:rPr>
          <w:rFonts w:hint="eastAsia"/>
          <w:color w:val="000000"/>
          <w:sz w:val="21"/>
          <w:szCs w:val="21"/>
        </w:rPr>
        <w:t>核酸扩增检测分析仪</w:t>
      </w:r>
      <w:r>
        <w:rPr>
          <w:rFonts w:hint="eastAsia" w:cs="Arial"/>
          <w:color w:val="000000" w:themeColor="text1"/>
          <w:sz w:val="21"/>
          <w:szCs w:val="21"/>
          <w:shd w:val="clear" w:color="auto" w:fill="FFFFFF"/>
        </w:rPr>
        <w:t>连入我院LIS等信息化系统，并承担相应的接口服务费。</w:t>
      </w:r>
    </w:p>
    <w:p w14:paraId="1D3F0AEB">
      <w:pPr>
        <w:pStyle w:val="29"/>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highlight w:val="none"/>
          <w:shd w:val="clear" w:color="auto" w:fill="FFFFFF"/>
        </w:rPr>
        <w:t>19、中标人提供设备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00A5AD9F">
      <w:pPr>
        <w:pStyle w:val="29"/>
        <w:shd w:val="clear" w:color="auto" w:fill="FFFFFF"/>
        <w:spacing w:before="0" w:beforeAutospacing="0" w:after="0" w:afterAutospacing="0" w:line="360" w:lineRule="auto"/>
        <w:ind w:firstLine="426"/>
        <w:rPr>
          <w:rFonts w:hint="default" w:eastAsia="宋体"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20、</w:t>
      </w:r>
      <w:r>
        <w:rPr>
          <w:rFonts w:hint="eastAsia" w:cs="Arial"/>
          <w:color w:val="000000" w:themeColor="text1"/>
          <w:sz w:val="21"/>
          <w:szCs w:val="21"/>
          <w:highlight w:val="none"/>
          <w:shd w:val="clear" w:color="auto" w:fill="FFFFFF"/>
        </w:rPr>
        <w:t>投标人</w:t>
      </w:r>
      <w:r>
        <w:rPr>
          <w:rFonts w:hint="eastAsia" w:cs="Arial"/>
          <w:color w:val="000000" w:themeColor="text1"/>
          <w:sz w:val="21"/>
          <w:szCs w:val="21"/>
          <w:highlight w:val="none"/>
          <w:shd w:val="clear" w:color="auto" w:fill="FFFFFF"/>
          <w:lang w:val="en-US" w:eastAsia="zh-CN"/>
        </w:rPr>
        <w:t>在标书中提供从采样到出检测结果所需的操作流程和步骤，需提供相关图片或说明等资料。</w:t>
      </w: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9"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9"/>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3"/>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3"/>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4"/>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5"/>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5"/>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5"/>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5"/>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5"/>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5"/>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5"/>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5"/>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5"/>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5"/>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single"/>
        </w:rPr>
        <w:t xml:space="preserve">    </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6"/>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6"/>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6"/>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6"/>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7"/>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7"/>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7"/>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7"/>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7"/>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7"/>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40" w:name="_Toc168582609"/>
      <w:bookmarkStart w:id="41" w:name="_Toc132309532"/>
      <w:r>
        <w:rPr>
          <w:rFonts w:hint="eastAsia"/>
          <w:color w:val="000000" w:themeColor="text1"/>
          <w:sz w:val="36"/>
          <w:szCs w:val="36"/>
        </w:rPr>
        <w:t>第六章  响应文件格式</w:t>
      </w:r>
      <w:bookmarkEnd w:id="40"/>
      <w:bookmarkEnd w:id="41"/>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3DE36B4A">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79"/>
        <w:gridCol w:w="571"/>
        <w:gridCol w:w="802"/>
        <w:gridCol w:w="1041"/>
        <w:gridCol w:w="320"/>
        <w:gridCol w:w="1510"/>
        <w:gridCol w:w="1005"/>
        <w:gridCol w:w="101"/>
        <w:gridCol w:w="238"/>
        <w:gridCol w:w="503"/>
        <w:gridCol w:w="434"/>
        <w:gridCol w:w="571"/>
        <w:gridCol w:w="467"/>
        <w:gridCol w:w="538"/>
        <w:gridCol w:w="749"/>
        <w:gridCol w:w="256"/>
        <w:gridCol w:w="1095"/>
        <w:gridCol w:w="1212"/>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9"/>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4"/>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5"/>
            <w:vAlign w:val="center"/>
          </w:tcPr>
          <w:p w14:paraId="50DF79C9">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gridSpan w:val="2"/>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gridSpan w:val="2"/>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gridSpan w:val="3"/>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1276" w:type="dxa"/>
            <w:gridSpan w:val="4"/>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325" w:type="dxa"/>
            <w:gridSpan w:val="4"/>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563" w:type="dxa"/>
            <w:gridSpan w:val="3"/>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gridSpan w:val="2"/>
            <w:vAlign w:val="center"/>
          </w:tcPr>
          <w:p w14:paraId="432E50BA">
            <w:pPr>
              <w:jc w:val="center"/>
              <w:rPr>
                <w:rFonts w:hint="eastAsia" w:ascii="宋体" w:hAnsi="宋体" w:eastAsia="宋体" w:cs="宋体"/>
                <w:color w:val="000000" w:themeColor="text1"/>
                <w:sz w:val="21"/>
                <w:szCs w:val="21"/>
              </w:rPr>
            </w:pPr>
          </w:p>
        </w:tc>
        <w:tc>
          <w:tcPr>
            <w:tcW w:w="1843" w:type="dxa"/>
            <w:gridSpan w:val="2"/>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gridSpan w:val="3"/>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1276" w:type="dxa"/>
            <w:gridSpan w:val="4"/>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2325" w:type="dxa"/>
            <w:gridSpan w:val="4"/>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rPr>
            </w:pPr>
          </w:p>
        </w:tc>
        <w:tc>
          <w:tcPr>
            <w:tcW w:w="2563" w:type="dxa"/>
            <w:gridSpan w:val="3"/>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vAlign w:val="center"/>
          </w:tcPr>
          <w:p w14:paraId="71BDF643">
            <w:pPr>
              <w:jc w:val="center"/>
              <w:rPr>
                <w:rFonts w:hint="eastAsia" w:ascii="宋体" w:hAnsi="宋体" w:eastAsia="宋体" w:cs="宋体"/>
                <w:color w:val="000000" w:themeColor="text1"/>
                <w:sz w:val="21"/>
                <w:szCs w:val="21"/>
              </w:rPr>
            </w:pPr>
          </w:p>
        </w:tc>
        <w:tc>
          <w:tcPr>
            <w:tcW w:w="1479" w:type="dxa"/>
            <w:vAlign w:val="center"/>
          </w:tcPr>
          <w:p w14:paraId="570D15FE">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设备总报价</w:t>
            </w:r>
          </w:p>
        </w:tc>
        <w:tc>
          <w:tcPr>
            <w:tcW w:w="11413" w:type="dxa"/>
            <w:gridSpan w:val="17"/>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58F0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restart"/>
            <w:shd w:val="clear" w:color="auto" w:fill="auto"/>
            <w:vAlign w:val="center"/>
          </w:tcPr>
          <w:p w14:paraId="122718A0">
            <w:pPr>
              <w:jc w:val="center"/>
              <w:rPr>
                <w:rFonts w:hint="eastAsia" w:ascii="宋体" w:hAnsi="宋体" w:eastAsia="宋体" w:cs="宋体"/>
                <w:color w:val="000000" w:themeColor="text1"/>
                <w:sz w:val="21"/>
                <w:szCs w:val="21"/>
              </w:rPr>
            </w:pPr>
            <w:bookmarkStart w:id="42" w:name="_Hlk208755625"/>
            <w:r>
              <w:rPr>
                <w:rFonts w:hint="eastAsia" w:ascii="宋体" w:hAnsi="宋体" w:eastAsia="宋体" w:cs="宋体"/>
                <w:color w:val="000000" w:themeColor="text1"/>
                <w:sz w:val="21"/>
                <w:szCs w:val="21"/>
              </w:rPr>
              <w:t>试剂报价</w:t>
            </w:r>
          </w:p>
        </w:tc>
        <w:tc>
          <w:tcPr>
            <w:tcW w:w="2852" w:type="dxa"/>
            <w:gridSpan w:val="3"/>
            <w:shd w:val="clear" w:color="auto" w:fill="auto"/>
            <w:vAlign w:val="center"/>
          </w:tcPr>
          <w:p w14:paraId="6B3E1F96">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试剂名称</w:t>
            </w:r>
          </w:p>
        </w:tc>
        <w:tc>
          <w:tcPr>
            <w:tcW w:w="1361" w:type="dxa"/>
            <w:gridSpan w:val="2"/>
            <w:shd w:val="clear" w:color="auto" w:fill="auto"/>
            <w:vAlign w:val="center"/>
          </w:tcPr>
          <w:p w14:paraId="5B1118B3">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themeColor="text1"/>
                <w:sz w:val="21"/>
                <w:szCs w:val="21"/>
                <w:highlight w:val="none"/>
              </w:rPr>
              <w:t>厂家</w:t>
            </w:r>
          </w:p>
        </w:tc>
        <w:tc>
          <w:tcPr>
            <w:tcW w:w="1510" w:type="dxa"/>
            <w:shd w:val="clear" w:color="auto" w:fill="auto"/>
            <w:vAlign w:val="center"/>
          </w:tcPr>
          <w:p w14:paraId="13D5F164">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themeColor="text1"/>
                <w:sz w:val="21"/>
                <w:szCs w:val="21"/>
                <w:highlight w:val="none"/>
                <w:lang w:val="en-US" w:eastAsia="zh-CN"/>
              </w:rPr>
              <w:t>规格</w:t>
            </w:r>
            <w:r>
              <w:rPr>
                <w:rFonts w:hint="eastAsia" w:ascii="宋体" w:hAnsi="宋体" w:eastAsia="宋体" w:cs="宋体"/>
                <w:color w:val="000000" w:themeColor="text1"/>
                <w:sz w:val="21"/>
                <w:szCs w:val="21"/>
                <w:highlight w:val="none"/>
              </w:rPr>
              <w:t>型号</w:t>
            </w:r>
          </w:p>
        </w:tc>
        <w:tc>
          <w:tcPr>
            <w:tcW w:w="1106" w:type="dxa"/>
            <w:gridSpan w:val="2"/>
            <w:shd w:val="clear" w:color="auto" w:fill="auto"/>
            <w:vAlign w:val="center"/>
          </w:tcPr>
          <w:p w14:paraId="740F88D3">
            <w:pPr>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省平台中标编码</w:t>
            </w:r>
          </w:p>
        </w:tc>
        <w:tc>
          <w:tcPr>
            <w:tcW w:w="741" w:type="dxa"/>
            <w:gridSpan w:val="2"/>
            <w:shd w:val="clear" w:color="auto" w:fill="auto"/>
            <w:vAlign w:val="center"/>
          </w:tcPr>
          <w:p w14:paraId="0CAEF313">
            <w:pPr>
              <w:widowControl/>
              <w:spacing w:line="240" w:lineRule="exact"/>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数量</w:t>
            </w:r>
          </w:p>
        </w:tc>
        <w:tc>
          <w:tcPr>
            <w:tcW w:w="1005" w:type="dxa"/>
            <w:gridSpan w:val="2"/>
            <w:shd w:val="clear" w:color="auto" w:fill="auto"/>
            <w:vAlign w:val="center"/>
          </w:tcPr>
          <w:p w14:paraId="5F822787">
            <w:pPr>
              <w:widowControl/>
              <w:spacing w:line="24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平台价</w:t>
            </w:r>
          </w:p>
          <w:p w14:paraId="50A7691D">
            <w:pPr>
              <w:widowControl/>
              <w:spacing w:line="2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（元）</w:t>
            </w:r>
          </w:p>
        </w:tc>
        <w:tc>
          <w:tcPr>
            <w:tcW w:w="1005" w:type="dxa"/>
            <w:gridSpan w:val="2"/>
            <w:shd w:val="clear" w:color="auto" w:fill="auto"/>
            <w:vAlign w:val="center"/>
          </w:tcPr>
          <w:p w14:paraId="7C3AA36E">
            <w:pPr>
              <w:widowControl/>
              <w:spacing w:line="24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成交价</w:t>
            </w:r>
          </w:p>
          <w:p w14:paraId="0726C23F">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themeColor="text1"/>
                <w:sz w:val="21"/>
                <w:szCs w:val="21"/>
                <w:highlight w:val="none"/>
              </w:rPr>
              <w:t>（元）</w:t>
            </w:r>
          </w:p>
        </w:tc>
        <w:tc>
          <w:tcPr>
            <w:tcW w:w="1005" w:type="dxa"/>
            <w:gridSpan w:val="2"/>
            <w:shd w:val="clear" w:color="auto" w:fill="auto"/>
            <w:vAlign w:val="center"/>
          </w:tcPr>
          <w:p w14:paraId="3189BEC4">
            <w:pPr>
              <w:widowControl/>
              <w:spacing w:line="24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收费价</w:t>
            </w:r>
          </w:p>
          <w:p w14:paraId="78FE2012">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themeColor="text1"/>
                <w:sz w:val="21"/>
                <w:szCs w:val="21"/>
                <w:highlight w:val="none"/>
              </w:rPr>
              <w:t>（元）</w:t>
            </w:r>
          </w:p>
        </w:tc>
        <w:tc>
          <w:tcPr>
            <w:tcW w:w="1095" w:type="dxa"/>
            <w:shd w:val="clear" w:color="auto" w:fill="auto"/>
            <w:vAlign w:val="center"/>
          </w:tcPr>
          <w:p w14:paraId="5B3FA81B">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rPr>
              <w:t>试剂</w:t>
            </w:r>
            <w:r>
              <w:rPr>
                <w:rFonts w:hint="eastAsia" w:ascii="宋体" w:hAnsi="宋体" w:cs="宋体"/>
                <w:color w:val="000000"/>
                <w:sz w:val="21"/>
                <w:szCs w:val="21"/>
                <w:highlight w:val="none"/>
                <w:lang w:val="en-US" w:eastAsia="zh-CN"/>
              </w:rPr>
              <w:t>成交</w:t>
            </w:r>
            <w:r>
              <w:rPr>
                <w:rFonts w:hint="eastAsia" w:ascii="宋体" w:hAnsi="宋体" w:eastAsia="宋体" w:cs="宋体"/>
                <w:color w:val="000000"/>
                <w:sz w:val="21"/>
                <w:szCs w:val="21"/>
                <w:highlight w:val="none"/>
              </w:rPr>
              <w:t>价与收费价的占比</w:t>
            </w:r>
          </w:p>
        </w:tc>
        <w:tc>
          <w:tcPr>
            <w:tcW w:w="1212" w:type="dxa"/>
            <w:vAlign w:val="center"/>
          </w:tcPr>
          <w:p w14:paraId="18F4E32F">
            <w:pPr>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sz w:val="21"/>
                <w:szCs w:val="21"/>
                <w:highlight w:val="none"/>
                <w:lang w:val="en-US" w:eastAsia="zh-CN"/>
              </w:rPr>
              <w:t>备注</w:t>
            </w:r>
          </w:p>
        </w:tc>
      </w:tr>
      <w:tr w14:paraId="1844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21B03D9C">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23C101E3">
            <w:pPr>
              <w:widowControl/>
              <w:spacing w:line="240" w:lineRule="exact"/>
              <w:jc w:val="center"/>
              <w:textAlignment w:val="center"/>
              <w:rPr>
                <w:rFonts w:hint="eastAsia" w:ascii="宋体" w:hAnsi="宋体" w:eastAsia="宋体" w:cs="宋体"/>
                <w:color w:val="000000" w:themeColor="text1"/>
                <w:sz w:val="21"/>
                <w:szCs w:val="21"/>
                <w:highlight w:val="none"/>
              </w:rPr>
            </w:pPr>
          </w:p>
        </w:tc>
        <w:tc>
          <w:tcPr>
            <w:tcW w:w="1361" w:type="dxa"/>
            <w:gridSpan w:val="2"/>
            <w:vAlign w:val="center"/>
          </w:tcPr>
          <w:p w14:paraId="7A8CA065">
            <w:pPr>
              <w:jc w:val="center"/>
              <w:rPr>
                <w:rFonts w:hint="eastAsia" w:ascii="宋体" w:hAnsi="宋体" w:eastAsia="宋体" w:cs="宋体"/>
                <w:color w:val="000000" w:themeColor="text1"/>
                <w:sz w:val="21"/>
                <w:szCs w:val="21"/>
                <w:highlight w:val="none"/>
              </w:rPr>
            </w:pPr>
          </w:p>
        </w:tc>
        <w:tc>
          <w:tcPr>
            <w:tcW w:w="1510" w:type="dxa"/>
            <w:vAlign w:val="center"/>
          </w:tcPr>
          <w:p w14:paraId="34E6BD70">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4100F46D">
            <w:pPr>
              <w:jc w:val="center"/>
              <w:rPr>
                <w:rFonts w:hint="eastAsia" w:ascii="宋体" w:hAnsi="宋体" w:eastAsia="宋体" w:cs="宋体"/>
                <w:color w:val="000000" w:themeColor="text1"/>
                <w:sz w:val="21"/>
                <w:szCs w:val="21"/>
                <w:highlight w:val="none"/>
              </w:rPr>
            </w:pPr>
          </w:p>
        </w:tc>
        <w:tc>
          <w:tcPr>
            <w:tcW w:w="741" w:type="dxa"/>
            <w:gridSpan w:val="2"/>
            <w:vAlign w:val="center"/>
          </w:tcPr>
          <w:p w14:paraId="474FAD29">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6CB37F44">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051C8509">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D492E8B">
            <w:pPr>
              <w:jc w:val="center"/>
              <w:rPr>
                <w:rFonts w:hint="eastAsia" w:ascii="宋体" w:hAnsi="宋体" w:eastAsia="宋体" w:cs="宋体"/>
                <w:color w:val="000000" w:themeColor="text1"/>
                <w:sz w:val="21"/>
                <w:szCs w:val="21"/>
                <w:highlight w:val="none"/>
              </w:rPr>
            </w:pPr>
          </w:p>
        </w:tc>
        <w:tc>
          <w:tcPr>
            <w:tcW w:w="1095" w:type="dxa"/>
            <w:vAlign w:val="center"/>
          </w:tcPr>
          <w:p w14:paraId="16A88138">
            <w:pPr>
              <w:jc w:val="center"/>
              <w:rPr>
                <w:rFonts w:hint="eastAsia" w:ascii="宋体" w:hAnsi="宋体" w:eastAsia="宋体" w:cs="宋体"/>
                <w:color w:val="000000" w:themeColor="text1"/>
                <w:sz w:val="21"/>
                <w:szCs w:val="21"/>
                <w:highlight w:val="none"/>
              </w:rPr>
            </w:pPr>
          </w:p>
        </w:tc>
        <w:tc>
          <w:tcPr>
            <w:tcW w:w="1212" w:type="dxa"/>
            <w:vAlign w:val="center"/>
          </w:tcPr>
          <w:p w14:paraId="6B82C983">
            <w:pPr>
              <w:tabs>
                <w:tab w:val="left" w:pos="257"/>
              </w:tabs>
              <w:jc w:val="left"/>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ab/>
            </w:r>
          </w:p>
        </w:tc>
      </w:tr>
      <w:tr w14:paraId="4DF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4C93E6B6">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01D14129">
            <w:pPr>
              <w:widowControl/>
              <w:spacing w:line="240" w:lineRule="exact"/>
              <w:jc w:val="center"/>
              <w:textAlignment w:val="center"/>
              <w:rPr>
                <w:rFonts w:hint="eastAsia" w:ascii="宋体" w:hAnsi="宋体" w:eastAsia="宋体" w:cs="宋体"/>
                <w:color w:val="000000" w:themeColor="text1"/>
                <w:sz w:val="21"/>
                <w:szCs w:val="21"/>
                <w:highlight w:val="none"/>
              </w:rPr>
            </w:pPr>
          </w:p>
        </w:tc>
        <w:tc>
          <w:tcPr>
            <w:tcW w:w="1361" w:type="dxa"/>
            <w:gridSpan w:val="2"/>
            <w:vAlign w:val="center"/>
          </w:tcPr>
          <w:p w14:paraId="7C8D31AD">
            <w:pPr>
              <w:jc w:val="center"/>
              <w:rPr>
                <w:rFonts w:hint="eastAsia" w:ascii="宋体" w:hAnsi="宋体" w:eastAsia="宋体" w:cs="宋体"/>
                <w:color w:val="000000" w:themeColor="text1"/>
                <w:sz w:val="21"/>
                <w:szCs w:val="21"/>
                <w:highlight w:val="none"/>
              </w:rPr>
            </w:pPr>
          </w:p>
        </w:tc>
        <w:tc>
          <w:tcPr>
            <w:tcW w:w="1510" w:type="dxa"/>
            <w:vAlign w:val="center"/>
          </w:tcPr>
          <w:p w14:paraId="53C5CBC6">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47910625">
            <w:pPr>
              <w:jc w:val="center"/>
              <w:rPr>
                <w:rFonts w:hint="eastAsia" w:ascii="宋体" w:hAnsi="宋体" w:eastAsia="宋体" w:cs="宋体"/>
                <w:color w:val="000000" w:themeColor="text1"/>
                <w:sz w:val="21"/>
                <w:szCs w:val="21"/>
                <w:highlight w:val="none"/>
              </w:rPr>
            </w:pPr>
          </w:p>
        </w:tc>
        <w:tc>
          <w:tcPr>
            <w:tcW w:w="741" w:type="dxa"/>
            <w:gridSpan w:val="2"/>
            <w:vAlign w:val="center"/>
          </w:tcPr>
          <w:p w14:paraId="71826EC3">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0B8BA00A">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05247D65">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A26B097">
            <w:pPr>
              <w:jc w:val="center"/>
              <w:rPr>
                <w:rFonts w:hint="eastAsia" w:ascii="宋体" w:hAnsi="宋体" w:eastAsia="宋体" w:cs="宋体"/>
                <w:color w:val="000000" w:themeColor="text1"/>
                <w:sz w:val="21"/>
                <w:szCs w:val="21"/>
                <w:highlight w:val="none"/>
              </w:rPr>
            </w:pPr>
          </w:p>
        </w:tc>
        <w:tc>
          <w:tcPr>
            <w:tcW w:w="1095" w:type="dxa"/>
            <w:vAlign w:val="center"/>
          </w:tcPr>
          <w:p w14:paraId="007CFB15">
            <w:pPr>
              <w:jc w:val="center"/>
              <w:rPr>
                <w:rFonts w:hint="eastAsia" w:ascii="宋体" w:hAnsi="宋体" w:eastAsia="宋体" w:cs="宋体"/>
                <w:color w:val="000000" w:themeColor="text1"/>
                <w:sz w:val="21"/>
                <w:szCs w:val="21"/>
                <w:highlight w:val="none"/>
              </w:rPr>
            </w:pPr>
          </w:p>
        </w:tc>
        <w:tc>
          <w:tcPr>
            <w:tcW w:w="1212" w:type="dxa"/>
            <w:vAlign w:val="center"/>
          </w:tcPr>
          <w:p w14:paraId="7C5E3412">
            <w:pPr>
              <w:jc w:val="center"/>
              <w:rPr>
                <w:rFonts w:hint="eastAsia" w:ascii="宋体" w:hAnsi="宋体" w:eastAsia="宋体" w:cs="宋体"/>
                <w:color w:val="000000" w:themeColor="text1"/>
                <w:sz w:val="21"/>
                <w:szCs w:val="21"/>
                <w:highlight w:val="none"/>
              </w:rPr>
            </w:pPr>
          </w:p>
        </w:tc>
      </w:tr>
      <w:tr w14:paraId="5169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0604120C">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7B16D60F">
            <w:pPr>
              <w:widowControl/>
              <w:spacing w:line="240" w:lineRule="exact"/>
              <w:jc w:val="center"/>
              <w:textAlignment w:val="center"/>
              <w:rPr>
                <w:rFonts w:hint="eastAsia" w:ascii="宋体" w:hAnsi="宋体" w:eastAsia="宋体" w:cs="宋体"/>
                <w:color w:val="000000" w:themeColor="text1"/>
                <w:sz w:val="21"/>
                <w:szCs w:val="21"/>
                <w:highlight w:val="none"/>
              </w:rPr>
            </w:pPr>
          </w:p>
        </w:tc>
        <w:tc>
          <w:tcPr>
            <w:tcW w:w="1361" w:type="dxa"/>
            <w:gridSpan w:val="2"/>
            <w:vAlign w:val="center"/>
          </w:tcPr>
          <w:p w14:paraId="173EFAA7">
            <w:pPr>
              <w:jc w:val="center"/>
              <w:rPr>
                <w:rFonts w:hint="eastAsia" w:ascii="宋体" w:hAnsi="宋体" w:eastAsia="宋体" w:cs="宋体"/>
                <w:color w:val="000000" w:themeColor="text1"/>
                <w:sz w:val="21"/>
                <w:szCs w:val="21"/>
                <w:highlight w:val="none"/>
              </w:rPr>
            </w:pPr>
          </w:p>
        </w:tc>
        <w:tc>
          <w:tcPr>
            <w:tcW w:w="1510" w:type="dxa"/>
            <w:vAlign w:val="center"/>
          </w:tcPr>
          <w:p w14:paraId="25202AA1">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48F21FB4">
            <w:pPr>
              <w:jc w:val="center"/>
              <w:rPr>
                <w:rFonts w:hint="eastAsia" w:ascii="宋体" w:hAnsi="宋体" w:eastAsia="宋体" w:cs="宋体"/>
                <w:color w:val="000000" w:themeColor="text1"/>
                <w:sz w:val="21"/>
                <w:szCs w:val="21"/>
                <w:highlight w:val="none"/>
              </w:rPr>
            </w:pPr>
          </w:p>
        </w:tc>
        <w:tc>
          <w:tcPr>
            <w:tcW w:w="741" w:type="dxa"/>
            <w:gridSpan w:val="2"/>
            <w:vAlign w:val="center"/>
          </w:tcPr>
          <w:p w14:paraId="08269EA5">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B6841A9">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546D511B">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700DDA1">
            <w:pPr>
              <w:jc w:val="center"/>
              <w:rPr>
                <w:rFonts w:hint="eastAsia" w:ascii="宋体" w:hAnsi="宋体" w:eastAsia="宋体" w:cs="宋体"/>
                <w:color w:val="000000" w:themeColor="text1"/>
                <w:sz w:val="21"/>
                <w:szCs w:val="21"/>
                <w:highlight w:val="none"/>
              </w:rPr>
            </w:pPr>
          </w:p>
        </w:tc>
        <w:tc>
          <w:tcPr>
            <w:tcW w:w="1095" w:type="dxa"/>
            <w:vAlign w:val="center"/>
          </w:tcPr>
          <w:p w14:paraId="49AF13E4">
            <w:pPr>
              <w:jc w:val="center"/>
              <w:rPr>
                <w:rFonts w:hint="eastAsia" w:ascii="宋体" w:hAnsi="宋体" w:eastAsia="宋体" w:cs="宋体"/>
                <w:color w:val="000000" w:themeColor="text1"/>
                <w:sz w:val="21"/>
                <w:szCs w:val="21"/>
                <w:highlight w:val="none"/>
              </w:rPr>
            </w:pPr>
          </w:p>
        </w:tc>
        <w:tc>
          <w:tcPr>
            <w:tcW w:w="1212" w:type="dxa"/>
            <w:vAlign w:val="center"/>
          </w:tcPr>
          <w:p w14:paraId="5CB498EF">
            <w:pPr>
              <w:jc w:val="center"/>
              <w:rPr>
                <w:rFonts w:hint="eastAsia" w:ascii="宋体" w:hAnsi="宋体" w:eastAsia="宋体" w:cs="宋体"/>
                <w:color w:val="000000" w:themeColor="text1"/>
                <w:sz w:val="21"/>
                <w:szCs w:val="21"/>
                <w:highlight w:val="none"/>
              </w:rPr>
            </w:pPr>
          </w:p>
        </w:tc>
      </w:tr>
      <w:tr w14:paraId="2A7F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5A772063">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54187413">
            <w:pPr>
              <w:widowControl/>
              <w:spacing w:line="240" w:lineRule="exact"/>
              <w:jc w:val="center"/>
              <w:textAlignment w:val="center"/>
              <w:rPr>
                <w:rFonts w:hint="eastAsia" w:ascii="宋体" w:hAnsi="宋体" w:eastAsia="宋体" w:cs="宋体"/>
                <w:color w:val="000000" w:themeColor="text1"/>
                <w:sz w:val="21"/>
                <w:szCs w:val="21"/>
                <w:highlight w:val="none"/>
              </w:rPr>
            </w:pPr>
          </w:p>
        </w:tc>
        <w:tc>
          <w:tcPr>
            <w:tcW w:w="1361" w:type="dxa"/>
            <w:gridSpan w:val="2"/>
            <w:vAlign w:val="center"/>
          </w:tcPr>
          <w:p w14:paraId="64EA4843">
            <w:pPr>
              <w:jc w:val="center"/>
              <w:rPr>
                <w:rFonts w:hint="eastAsia" w:ascii="宋体" w:hAnsi="宋体" w:eastAsia="宋体" w:cs="宋体"/>
                <w:color w:val="000000" w:themeColor="text1"/>
                <w:sz w:val="21"/>
                <w:szCs w:val="21"/>
                <w:highlight w:val="none"/>
              </w:rPr>
            </w:pPr>
          </w:p>
        </w:tc>
        <w:tc>
          <w:tcPr>
            <w:tcW w:w="1510" w:type="dxa"/>
            <w:vAlign w:val="center"/>
          </w:tcPr>
          <w:p w14:paraId="3CCCC051">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5DE942A2">
            <w:pPr>
              <w:jc w:val="center"/>
              <w:rPr>
                <w:rFonts w:hint="eastAsia" w:ascii="宋体" w:hAnsi="宋体" w:eastAsia="宋体" w:cs="宋体"/>
                <w:color w:val="000000" w:themeColor="text1"/>
                <w:sz w:val="21"/>
                <w:szCs w:val="21"/>
                <w:highlight w:val="none"/>
              </w:rPr>
            </w:pPr>
          </w:p>
        </w:tc>
        <w:tc>
          <w:tcPr>
            <w:tcW w:w="741" w:type="dxa"/>
            <w:gridSpan w:val="2"/>
            <w:vAlign w:val="center"/>
          </w:tcPr>
          <w:p w14:paraId="4F80A33C">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59897A50">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3E96D240">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37A14DF6">
            <w:pPr>
              <w:jc w:val="center"/>
              <w:rPr>
                <w:rFonts w:hint="eastAsia" w:ascii="宋体" w:hAnsi="宋体" w:eastAsia="宋体" w:cs="宋体"/>
                <w:color w:val="000000" w:themeColor="text1"/>
                <w:sz w:val="21"/>
                <w:szCs w:val="21"/>
                <w:highlight w:val="none"/>
              </w:rPr>
            </w:pPr>
          </w:p>
        </w:tc>
        <w:tc>
          <w:tcPr>
            <w:tcW w:w="1095" w:type="dxa"/>
            <w:vAlign w:val="center"/>
          </w:tcPr>
          <w:p w14:paraId="2AE4194A">
            <w:pPr>
              <w:jc w:val="center"/>
              <w:rPr>
                <w:rFonts w:hint="eastAsia" w:ascii="宋体" w:hAnsi="宋体" w:eastAsia="宋体" w:cs="宋体"/>
                <w:color w:val="000000" w:themeColor="text1"/>
                <w:sz w:val="21"/>
                <w:szCs w:val="21"/>
                <w:highlight w:val="none"/>
              </w:rPr>
            </w:pPr>
          </w:p>
        </w:tc>
        <w:tc>
          <w:tcPr>
            <w:tcW w:w="1212" w:type="dxa"/>
            <w:vAlign w:val="center"/>
          </w:tcPr>
          <w:p w14:paraId="52A3833A">
            <w:pPr>
              <w:jc w:val="center"/>
              <w:rPr>
                <w:rFonts w:hint="eastAsia" w:ascii="宋体" w:hAnsi="宋体" w:eastAsia="宋体" w:cs="宋体"/>
                <w:color w:val="000000" w:themeColor="text1"/>
                <w:sz w:val="21"/>
                <w:szCs w:val="21"/>
                <w:highlight w:val="none"/>
              </w:rPr>
            </w:pPr>
          </w:p>
        </w:tc>
      </w:tr>
      <w:tr w14:paraId="25A9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6B7DFB75">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31B7A947">
            <w:pPr>
              <w:widowControl/>
              <w:spacing w:line="240" w:lineRule="exact"/>
              <w:jc w:val="center"/>
              <w:textAlignment w:val="center"/>
              <w:rPr>
                <w:rFonts w:hint="eastAsia" w:ascii="宋体" w:hAnsi="宋体" w:eastAsia="宋体" w:cs="宋体"/>
                <w:color w:val="000000" w:themeColor="text1"/>
                <w:sz w:val="21"/>
                <w:szCs w:val="21"/>
                <w:highlight w:val="none"/>
              </w:rPr>
            </w:pPr>
          </w:p>
        </w:tc>
        <w:tc>
          <w:tcPr>
            <w:tcW w:w="1361" w:type="dxa"/>
            <w:gridSpan w:val="2"/>
            <w:vAlign w:val="center"/>
          </w:tcPr>
          <w:p w14:paraId="56BDEE64">
            <w:pPr>
              <w:jc w:val="center"/>
              <w:rPr>
                <w:rFonts w:hint="eastAsia" w:ascii="宋体" w:hAnsi="宋体" w:eastAsia="宋体" w:cs="宋体"/>
                <w:color w:val="000000" w:themeColor="text1"/>
                <w:sz w:val="21"/>
                <w:szCs w:val="21"/>
                <w:highlight w:val="none"/>
              </w:rPr>
            </w:pPr>
          </w:p>
        </w:tc>
        <w:tc>
          <w:tcPr>
            <w:tcW w:w="1510" w:type="dxa"/>
            <w:vAlign w:val="center"/>
          </w:tcPr>
          <w:p w14:paraId="5BD91DCB">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0AB31710">
            <w:pPr>
              <w:jc w:val="center"/>
              <w:rPr>
                <w:rFonts w:hint="eastAsia" w:ascii="宋体" w:hAnsi="宋体" w:eastAsia="宋体" w:cs="宋体"/>
                <w:color w:val="000000" w:themeColor="text1"/>
                <w:sz w:val="21"/>
                <w:szCs w:val="21"/>
                <w:highlight w:val="none"/>
              </w:rPr>
            </w:pPr>
          </w:p>
        </w:tc>
        <w:tc>
          <w:tcPr>
            <w:tcW w:w="741" w:type="dxa"/>
            <w:gridSpan w:val="2"/>
            <w:vAlign w:val="center"/>
          </w:tcPr>
          <w:p w14:paraId="6F028E07">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6F4BA986">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1B9956E7">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05FBD39">
            <w:pPr>
              <w:jc w:val="center"/>
              <w:rPr>
                <w:rFonts w:hint="eastAsia" w:ascii="宋体" w:hAnsi="宋体" w:eastAsia="宋体" w:cs="宋体"/>
                <w:color w:val="000000" w:themeColor="text1"/>
                <w:sz w:val="21"/>
                <w:szCs w:val="21"/>
                <w:highlight w:val="none"/>
              </w:rPr>
            </w:pPr>
          </w:p>
        </w:tc>
        <w:tc>
          <w:tcPr>
            <w:tcW w:w="1095" w:type="dxa"/>
            <w:vAlign w:val="center"/>
          </w:tcPr>
          <w:p w14:paraId="53DCF205">
            <w:pPr>
              <w:jc w:val="center"/>
              <w:rPr>
                <w:rFonts w:hint="eastAsia" w:ascii="宋体" w:hAnsi="宋体" w:eastAsia="宋体" w:cs="宋体"/>
                <w:color w:val="000000" w:themeColor="text1"/>
                <w:sz w:val="21"/>
                <w:szCs w:val="21"/>
                <w:highlight w:val="none"/>
              </w:rPr>
            </w:pPr>
          </w:p>
        </w:tc>
        <w:tc>
          <w:tcPr>
            <w:tcW w:w="1212" w:type="dxa"/>
            <w:vAlign w:val="center"/>
          </w:tcPr>
          <w:p w14:paraId="2230544A">
            <w:pPr>
              <w:jc w:val="center"/>
              <w:rPr>
                <w:rFonts w:hint="eastAsia" w:ascii="宋体" w:hAnsi="宋体" w:eastAsia="宋体" w:cs="宋体"/>
                <w:color w:val="000000" w:themeColor="text1"/>
                <w:sz w:val="21"/>
                <w:szCs w:val="21"/>
                <w:highlight w:val="none"/>
              </w:rPr>
            </w:pPr>
          </w:p>
        </w:tc>
      </w:tr>
      <w:tr w14:paraId="7DA8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1343FD61">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4246C661">
            <w:pPr>
              <w:widowControl/>
              <w:spacing w:line="240" w:lineRule="exact"/>
              <w:jc w:val="center"/>
              <w:textAlignment w:val="center"/>
              <w:rPr>
                <w:rFonts w:hint="eastAsia" w:ascii="宋体" w:hAnsi="宋体" w:eastAsia="宋体" w:cs="宋体"/>
                <w:color w:val="000000" w:themeColor="text1"/>
                <w:kern w:val="2"/>
                <w:sz w:val="21"/>
                <w:szCs w:val="21"/>
                <w:highlight w:val="none"/>
                <w:lang w:val="en-US" w:eastAsia="zh-CN" w:bidi="ar-SA"/>
              </w:rPr>
            </w:pPr>
          </w:p>
        </w:tc>
        <w:tc>
          <w:tcPr>
            <w:tcW w:w="1361" w:type="dxa"/>
            <w:gridSpan w:val="2"/>
            <w:vAlign w:val="center"/>
          </w:tcPr>
          <w:p w14:paraId="04303AF5">
            <w:pPr>
              <w:jc w:val="center"/>
              <w:rPr>
                <w:rFonts w:hint="eastAsia" w:ascii="宋体" w:hAnsi="宋体" w:eastAsia="宋体" w:cs="宋体"/>
                <w:color w:val="000000" w:themeColor="text1"/>
                <w:sz w:val="21"/>
                <w:szCs w:val="21"/>
                <w:highlight w:val="none"/>
              </w:rPr>
            </w:pPr>
          </w:p>
        </w:tc>
        <w:tc>
          <w:tcPr>
            <w:tcW w:w="1510" w:type="dxa"/>
            <w:vAlign w:val="center"/>
          </w:tcPr>
          <w:p w14:paraId="0859F0E2">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48A16B33">
            <w:pPr>
              <w:jc w:val="center"/>
              <w:rPr>
                <w:rFonts w:hint="eastAsia" w:ascii="宋体" w:hAnsi="宋体" w:eastAsia="宋体" w:cs="宋体"/>
                <w:color w:val="000000" w:themeColor="text1"/>
                <w:sz w:val="21"/>
                <w:szCs w:val="21"/>
                <w:highlight w:val="none"/>
              </w:rPr>
            </w:pPr>
          </w:p>
        </w:tc>
        <w:tc>
          <w:tcPr>
            <w:tcW w:w="741" w:type="dxa"/>
            <w:gridSpan w:val="2"/>
            <w:vAlign w:val="center"/>
          </w:tcPr>
          <w:p w14:paraId="26C13EB8">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42F326A7">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471A1567">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6384207A">
            <w:pPr>
              <w:jc w:val="center"/>
              <w:rPr>
                <w:rFonts w:hint="eastAsia" w:ascii="宋体" w:hAnsi="宋体" w:eastAsia="宋体" w:cs="宋体"/>
                <w:color w:val="000000" w:themeColor="text1"/>
                <w:sz w:val="21"/>
                <w:szCs w:val="21"/>
                <w:highlight w:val="none"/>
              </w:rPr>
            </w:pPr>
          </w:p>
        </w:tc>
        <w:tc>
          <w:tcPr>
            <w:tcW w:w="1095" w:type="dxa"/>
            <w:vAlign w:val="center"/>
          </w:tcPr>
          <w:p w14:paraId="68E2BA5D">
            <w:pPr>
              <w:jc w:val="center"/>
              <w:rPr>
                <w:rFonts w:hint="eastAsia" w:ascii="宋体" w:hAnsi="宋体" w:eastAsia="宋体" w:cs="宋体"/>
                <w:color w:val="000000" w:themeColor="text1"/>
                <w:sz w:val="21"/>
                <w:szCs w:val="21"/>
                <w:highlight w:val="none"/>
              </w:rPr>
            </w:pPr>
          </w:p>
        </w:tc>
        <w:tc>
          <w:tcPr>
            <w:tcW w:w="1212" w:type="dxa"/>
            <w:vAlign w:val="center"/>
          </w:tcPr>
          <w:p w14:paraId="797EB024">
            <w:pPr>
              <w:jc w:val="center"/>
              <w:rPr>
                <w:rFonts w:hint="eastAsia" w:ascii="宋体" w:hAnsi="宋体" w:eastAsia="宋体" w:cs="宋体"/>
                <w:color w:val="000000" w:themeColor="text1"/>
                <w:sz w:val="21"/>
                <w:szCs w:val="21"/>
                <w:highlight w:val="none"/>
              </w:rPr>
            </w:pPr>
          </w:p>
        </w:tc>
      </w:tr>
      <w:tr w14:paraId="5016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317CF4D2">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13452BBB">
            <w:pPr>
              <w:widowControl/>
              <w:spacing w:line="240" w:lineRule="exact"/>
              <w:jc w:val="center"/>
              <w:textAlignment w:val="center"/>
              <w:rPr>
                <w:rFonts w:hint="eastAsia" w:ascii="宋体" w:hAnsi="宋体" w:eastAsia="宋体" w:cs="宋体"/>
                <w:color w:val="000000" w:themeColor="text1"/>
                <w:sz w:val="21"/>
                <w:szCs w:val="21"/>
                <w:highlight w:val="none"/>
              </w:rPr>
            </w:pPr>
          </w:p>
        </w:tc>
        <w:tc>
          <w:tcPr>
            <w:tcW w:w="1361" w:type="dxa"/>
            <w:gridSpan w:val="2"/>
            <w:vAlign w:val="center"/>
          </w:tcPr>
          <w:p w14:paraId="30696A4B">
            <w:pPr>
              <w:jc w:val="center"/>
              <w:rPr>
                <w:rFonts w:hint="eastAsia" w:ascii="宋体" w:hAnsi="宋体" w:eastAsia="宋体" w:cs="宋体"/>
                <w:color w:val="000000" w:themeColor="text1"/>
                <w:sz w:val="21"/>
                <w:szCs w:val="21"/>
                <w:highlight w:val="none"/>
              </w:rPr>
            </w:pPr>
          </w:p>
        </w:tc>
        <w:tc>
          <w:tcPr>
            <w:tcW w:w="1510" w:type="dxa"/>
            <w:vAlign w:val="center"/>
          </w:tcPr>
          <w:p w14:paraId="7672AEA8">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061E8262">
            <w:pPr>
              <w:jc w:val="center"/>
              <w:rPr>
                <w:rFonts w:hint="eastAsia" w:ascii="宋体" w:hAnsi="宋体" w:eastAsia="宋体" w:cs="宋体"/>
                <w:color w:val="000000" w:themeColor="text1"/>
                <w:sz w:val="21"/>
                <w:szCs w:val="21"/>
                <w:highlight w:val="none"/>
              </w:rPr>
            </w:pPr>
          </w:p>
        </w:tc>
        <w:tc>
          <w:tcPr>
            <w:tcW w:w="741" w:type="dxa"/>
            <w:gridSpan w:val="2"/>
            <w:vAlign w:val="center"/>
          </w:tcPr>
          <w:p w14:paraId="48F10170">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6BB1262A">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6166C810">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23B90CBF">
            <w:pPr>
              <w:jc w:val="center"/>
              <w:rPr>
                <w:rFonts w:hint="eastAsia" w:ascii="宋体" w:hAnsi="宋体" w:eastAsia="宋体" w:cs="宋体"/>
                <w:color w:val="000000" w:themeColor="text1"/>
                <w:sz w:val="21"/>
                <w:szCs w:val="21"/>
                <w:highlight w:val="none"/>
              </w:rPr>
            </w:pPr>
          </w:p>
        </w:tc>
        <w:tc>
          <w:tcPr>
            <w:tcW w:w="1095" w:type="dxa"/>
            <w:vAlign w:val="center"/>
          </w:tcPr>
          <w:p w14:paraId="228B098F">
            <w:pPr>
              <w:jc w:val="center"/>
              <w:rPr>
                <w:rFonts w:hint="eastAsia" w:ascii="宋体" w:hAnsi="宋体" w:eastAsia="宋体" w:cs="宋体"/>
                <w:color w:val="000000" w:themeColor="text1"/>
                <w:sz w:val="21"/>
                <w:szCs w:val="21"/>
                <w:highlight w:val="none"/>
              </w:rPr>
            </w:pPr>
          </w:p>
        </w:tc>
        <w:tc>
          <w:tcPr>
            <w:tcW w:w="1212" w:type="dxa"/>
            <w:vAlign w:val="center"/>
          </w:tcPr>
          <w:p w14:paraId="26BAE95F">
            <w:pPr>
              <w:jc w:val="center"/>
              <w:rPr>
                <w:rFonts w:hint="eastAsia" w:ascii="宋体" w:hAnsi="宋体" w:eastAsia="宋体" w:cs="宋体"/>
                <w:color w:val="000000" w:themeColor="text1"/>
                <w:sz w:val="21"/>
                <w:szCs w:val="21"/>
                <w:highlight w:val="none"/>
              </w:rPr>
            </w:pPr>
          </w:p>
        </w:tc>
      </w:tr>
      <w:tr w14:paraId="55BE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Merge w:val="continue"/>
            <w:shd w:val="clear" w:color="auto" w:fill="auto"/>
            <w:vAlign w:val="center"/>
          </w:tcPr>
          <w:p w14:paraId="3F48CE19">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273CC74D">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合计</w:t>
            </w:r>
          </w:p>
        </w:tc>
        <w:tc>
          <w:tcPr>
            <w:tcW w:w="1361" w:type="dxa"/>
            <w:gridSpan w:val="2"/>
            <w:vAlign w:val="center"/>
          </w:tcPr>
          <w:p w14:paraId="37D0E6EA">
            <w:pPr>
              <w:jc w:val="center"/>
              <w:rPr>
                <w:rFonts w:hint="eastAsia" w:ascii="宋体" w:hAnsi="宋体" w:eastAsia="宋体" w:cs="宋体"/>
                <w:color w:val="000000" w:themeColor="text1"/>
                <w:sz w:val="21"/>
                <w:szCs w:val="21"/>
                <w:highlight w:val="none"/>
              </w:rPr>
            </w:pPr>
          </w:p>
        </w:tc>
        <w:tc>
          <w:tcPr>
            <w:tcW w:w="1510" w:type="dxa"/>
            <w:vAlign w:val="center"/>
          </w:tcPr>
          <w:p w14:paraId="1D14EFAE">
            <w:pPr>
              <w:jc w:val="center"/>
              <w:rPr>
                <w:rFonts w:hint="eastAsia" w:ascii="宋体" w:hAnsi="宋体" w:eastAsia="宋体" w:cs="宋体"/>
                <w:color w:val="000000" w:themeColor="text1"/>
                <w:sz w:val="21"/>
                <w:szCs w:val="21"/>
                <w:highlight w:val="none"/>
              </w:rPr>
            </w:pPr>
          </w:p>
        </w:tc>
        <w:tc>
          <w:tcPr>
            <w:tcW w:w="1106" w:type="dxa"/>
            <w:gridSpan w:val="2"/>
            <w:vAlign w:val="center"/>
          </w:tcPr>
          <w:p w14:paraId="70CEDC01">
            <w:pPr>
              <w:jc w:val="center"/>
              <w:rPr>
                <w:rFonts w:hint="eastAsia" w:ascii="宋体" w:hAnsi="宋体" w:eastAsia="宋体" w:cs="宋体"/>
                <w:color w:val="000000" w:themeColor="text1"/>
                <w:sz w:val="21"/>
                <w:szCs w:val="21"/>
                <w:highlight w:val="none"/>
              </w:rPr>
            </w:pPr>
          </w:p>
        </w:tc>
        <w:tc>
          <w:tcPr>
            <w:tcW w:w="741" w:type="dxa"/>
            <w:gridSpan w:val="2"/>
            <w:vAlign w:val="center"/>
          </w:tcPr>
          <w:p w14:paraId="19DB637F">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469A8CB">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14C7B14">
            <w:pPr>
              <w:jc w:val="center"/>
              <w:rPr>
                <w:rFonts w:hint="eastAsia" w:ascii="宋体" w:hAnsi="宋体" w:eastAsia="宋体" w:cs="宋体"/>
                <w:color w:val="000000" w:themeColor="text1"/>
                <w:sz w:val="21"/>
                <w:szCs w:val="21"/>
                <w:highlight w:val="none"/>
              </w:rPr>
            </w:pPr>
          </w:p>
        </w:tc>
        <w:tc>
          <w:tcPr>
            <w:tcW w:w="1005" w:type="dxa"/>
            <w:gridSpan w:val="2"/>
            <w:vAlign w:val="center"/>
          </w:tcPr>
          <w:p w14:paraId="74F15019">
            <w:pPr>
              <w:jc w:val="center"/>
              <w:rPr>
                <w:rFonts w:hint="eastAsia" w:ascii="宋体" w:hAnsi="宋体" w:eastAsia="宋体" w:cs="宋体"/>
                <w:color w:val="000000" w:themeColor="text1"/>
                <w:sz w:val="21"/>
                <w:szCs w:val="21"/>
                <w:highlight w:val="none"/>
              </w:rPr>
            </w:pPr>
          </w:p>
        </w:tc>
        <w:tc>
          <w:tcPr>
            <w:tcW w:w="1095" w:type="dxa"/>
            <w:vAlign w:val="center"/>
          </w:tcPr>
          <w:p w14:paraId="6B12F809">
            <w:pPr>
              <w:jc w:val="center"/>
              <w:rPr>
                <w:rFonts w:hint="eastAsia" w:ascii="宋体" w:hAnsi="宋体" w:eastAsia="宋体" w:cs="宋体"/>
                <w:color w:val="000000" w:themeColor="text1"/>
                <w:sz w:val="21"/>
                <w:szCs w:val="21"/>
                <w:highlight w:val="none"/>
              </w:rPr>
            </w:pPr>
          </w:p>
        </w:tc>
        <w:tc>
          <w:tcPr>
            <w:tcW w:w="1212" w:type="dxa"/>
            <w:vAlign w:val="center"/>
          </w:tcPr>
          <w:p w14:paraId="7245BA78">
            <w:pPr>
              <w:jc w:val="center"/>
              <w:rPr>
                <w:rFonts w:hint="eastAsia" w:ascii="宋体" w:hAnsi="宋体" w:eastAsia="宋体" w:cs="宋体"/>
                <w:color w:val="000000" w:themeColor="text1"/>
                <w:sz w:val="21"/>
                <w:szCs w:val="21"/>
                <w:highlight w:val="none"/>
              </w:rPr>
            </w:pPr>
          </w:p>
        </w:tc>
      </w:tr>
      <w:bookmarkEnd w:id="42"/>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18"/>
            <w:vAlign w:val="center"/>
          </w:tcPr>
          <w:p w14:paraId="4DBADF38">
            <w:pP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kern w:val="0"/>
                <w:sz w:val="21"/>
                <w:szCs w:val="21"/>
              </w:rPr>
              <w:t>试剂报价按每人份进行报价。</w:t>
            </w: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ascii="宋体" w:hAnsi="宋体" w:cs="宋体"/>
                <w:b/>
                <w:bCs/>
                <w:color w:val="000000" w:themeColor="text1"/>
                <w:kern w:val="0"/>
                <w:szCs w:val="21"/>
              </w:rPr>
            </w:pPr>
            <w:r>
              <w:rPr>
                <w:rFonts w:hint="eastAsia" w:ascii="宋体" w:hAnsi="宋体" w:eastAsia="宋体" w:cs="宋体"/>
                <w:b/>
                <w:bCs/>
                <w:color w:val="000000" w:themeColor="text1"/>
                <w:szCs w:val="21"/>
              </w:rPr>
              <w:t>试剂价与收费价的占比</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8C6FA06">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3" w:name="_Toc5322"/>
      <w:r>
        <w:rPr>
          <w:rFonts w:hint="eastAsia" w:ascii="宋体" w:hAnsi="宋体"/>
          <w:b/>
          <w:color w:val="000000" w:themeColor="text1"/>
          <w:sz w:val="28"/>
          <w:szCs w:val="28"/>
        </w:rPr>
        <w:t>九、项目偏离表</w:t>
      </w:r>
      <w:bookmarkEnd w:id="43"/>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03275640">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r>
        <w:rPr>
          <w:rFonts w:hint="eastAsia" w:ascii="宋体" w:hAnsi="宋体"/>
          <w:b/>
          <w:color w:val="000000" w:themeColor="text1"/>
          <w:sz w:val="28"/>
          <w:szCs w:val="28"/>
          <w:lang w:eastAsia="zh-CN"/>
        </w:rPr>
        <w:t>（</w:t>
      </w:r>
      <w:r>
        <w:rPr>
          <w:rFonts w:hint="eastAsia" w:ascii="宋体" w:hAnsi="宋体"/>
          <w:b/>
          <w:color w:val="000000" w:themeColor="text1"/>
          <w:sz w:val="28"/>
          <w:szCs w:val="28"/>
          <w:lang w:val="en-US" w:eastAsia="zh-CN"/>
        </w:rPr>
        <w:t>彩页等</w:t>
      </w:r>
      <w:r>
        <w:rPr>
          <w:rFonts w:hint="eastAsia" w:ascii="宋体" w:hAnsi="宋体"/>
          <w:b/>
          <w:color w:val="000000" w:themeColor="text1"/>
          <w:sz w:val="28"/>
          <w:szCs w:val="28"/>
          <w:lang w:eastAsia="zh-CN"/>
        </w:rPr>
        <w:t>）</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EE3D2B-20A5-4644-86D8-85458CA24DFC}"/>
  </w:font>
  <w:font w:name="黑体">
    <w:panose1 w:val="02010609060101010101"/>
    <w:charset w:val="86"/>
    <w:family w:val="auto"/>
    <w:pitch w:val="default"/>
    <w:sig w:usb0="800002BF" w:usb1="38CF7CFA" w:usb2="00000016" w:usb3="00000000" w:csb0="00040001" w:csb1="00000000"/>
    <w:embedRegular r:id="rId2" w:fontKey="{4631C500-5A76-4134-8DA9-1FADB33F4B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BA2EF69D-A0DC-4050-8834-9B74212DF713}"/>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4AAA641F-73F3-465B-9361-508111F831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AF4C54"/>
    <w:rsid w:val="03761BA0"/>
    <w:rsid w:val="03925117"/>
    <w:rsid w:val="03CF0F1D"/>
    <w:rsid w:val="03DC45B9"/>
    <w:rsid w:val="04910D1F"/>
    <w:rsid w:val="05681A7F"/>
    <w:rsid w:val="056B77C2"/>
    <w:rsid w:val="058C1B99"/>
    <w:rsid w:val="05BE3D95"/>
    <w:rsid w:val="06557B85"/>
    <w:rsid w:val="066872CB"/>
    <w:rsid w:val="069B4B2F"/>
    <w:rsid w:val="069D1BFD"/>
    <w:rsid w:val="06BB2E8E"/>
    <w:rsid w:val="06E31D05"/>
    <w:rsid w:val="07E55609"/>
    <w:rsid w:val="0842480A"/>
    <w:rsid w:val="084F5179"/>
    <w:rsid w:val="08A242C7"/>
    <w:rsid w:val="099D55B0"/>
    <w:rsid w:val="0A002BCE"/>
    <w:rsid w:val="0A0748F5"/>
    <w:rsid w:val="0A1F5B1A"/>
    <w:rsid w:val="0A332EC1"/>
    <w:rsid w:val="0AF73FD1"/>
    <w:rsid w:val="0B4035F5"/>
    <w:rsid w:val="0B7F7B23"/>
    <w:rsid w:val="0B80466E"/>
    <w:rsid w:val="0BBD15A9"/>
    <w:rsid w:val="0BC3085D"/>
    <w:rsid w:val="0C2D15F3"/>
    <w:rsid w:val="0C833643"/>
    <w:rsid w:val="0CBD0903"/>
    <w:rsid w:val="0D444B80"/>
    <w:rsid w:val="0D570FA3"/>
    <w:rsid w:val="0D8D29CB"/>
    <w:rsid w:val="0E7019A5"/>
    <w:rsid w:val="0EAC6E81"/>
    <w:rsid w:val="0EC04B60"/>
    <w:rsid w:val="0EC27C38"/>
    <w:rsid w:val="0F8B118C"/>
    <w:rsid w:val="0FD2175C"/>
    <w:rsid w:val="10156CA8"/>
    <w:rsid w:val="10282537"/>
    <w:rsid w:val="10A25F15"/>
    <w:rsid w:val="10AE33DE"/>
    <w:rsid w:val="10DF7836"/>
    <w:rsid w:val="113118BF"/>
    <w:rsid w:val="11407D54"/>
    <w:rsid w:val="116A6B7F"/>
    <w:rsid w:val="118714DF"/>
    <w:rsid w:val="11A46535"/>
    <w:rsid w:val="11E42DD6"/>
    <w:rsid w:val="1218482D"/>
    <w:rsid w:val="127A5093"/>
    <w:rsid w:val="12C624DB"/>
    <w:rsid w:val="12F40DF6"/>
    <w:rsid w:val="13525B1D"/>
    <w:rsid w:val="13B011C1"/>
    <w:rsid w:val="14C71A2E"/>
    <w:rsid w:val="14DC7D7E"/>
    <w:rsid w:val="15321A33"/>
    <w:rsid w:val="16287735"/>
    <w:rsid w:val="16784CDF"/>
    <w:rsid w:val="170D06D9"/>
    <w:rsid w:val="1711641B"/>
    <w:rsid w:val="17E00954"/>
    <w:rsid w:val="180A2E6A"/>
    <w:rsid w:val="18825DD6"/>
    <w:rsid w:val="18B21538"/>
    <w:rsid w:val="18CF6494"/>
    <w:rsid w:val="18F953B8"/>
    <w:rsid w:val="19094E23"/>
    <w:rsid w:val="1934019F"/>
    <w:rsid w:val="193A152D"/>
    <w:rsid w:val="1981715C"/>
    <w:rsid w:val="198A6011"/>
    <w:rsid w:val="19ED43C7"/>
    <w:rsid w:val="1A2C356C"/>
    <w:rsid w:val="1B99078D"/>
    <w:rsid w:val="1C1861C9"/>
    <w:rsid w:val="1C3D55BC"/>
    <w:rsid w:val="1C7134B8"/>
    <w:rsid w:val="1CCD4B61"/>
    <w:rsid w:val="1D4F1E2F"/>
    <w:rsid w:val="1D9220A3"/>
    <w:rsid w:val="1DDD694B"/>
    <w:rsid w:val="1E2E3EF1"/>
    <w:rsid w:val="1E380731"/>
    <w:rsid w:val="1E716868"/>
    <w:rsid w:val="1E9B1C7D"/>
    <w:rsid w:val="1EAC6AFA"/>
    <w:rsid w:val="1EE870FD"/>
    <w:rsid w:val="1F521A61"/>
    <w:rsid w:val="1FAA740D"/>
    <w:rsid w:val="211A4958"/>
    <w:rsid w:val="21C13AD1"/>
    <w:rsid w:val="22431452"/>
    <w:rsid w:val="22A30143"/>
    <w:rsid w:val="22E569AE"/>
    <w:rsid w:val="23403BE4"/>
    <w:rsid w:val="23693AAA"/>
    <w:rsid w:val="23A822E2"/>
    <w:rsid w:val="240B5FA0"/>
    <w:rsid w:val="24D12D46"/>
    <w:rsid w:val="2555184F"/>
    <w:rsid w:val="25E46AA9"/>
    <w:rsid w:val="26AA1AA0"/>
    <w:rsid w:val="26C27113"/>
    <w:rsid w:val="26E256DE"/>
    <w:rsid w:val="26E45641"/>
    <w:rsid w:val="27562F2C"/>
    <w:rsid w:val="276F5D5F"/>
    <w:rsid w:val="27982240"/>
    <w:rsid w:val="279D7B8A"/>
    <w:rsid w:val="27A720F5"/>
    <w:rsid w:val="27B65DA8"/>
    <w:rsid w:val="28A36AFF"/>
    <w:rsid w:val="28BE27A6"/>
    <w:rsid w:val="28D82814"/>
    <w:rsid w:val="28FC235B"/>
    <w:rsid w:val="297D752F"/>
    <w:rsid w:val="298365D8"/>
    <w:rsid w:val="29B017CF"/>
    <w:rsid w:val="29B65845"/>
    <w:rsid w:val="2A395A41"/>
    <w:rsid w:val="2AAE58D7"/>
    <w:rsid w:val="2C2422F5"/>
    <w:rsid w:val="2C703684"/>
    <w:rsid w:val="2CC17B44"/>
    <w:rsid w:val="2D0A14EA"/>
    <w:rsid w:val="2D0F6B01"/>
    <w:rsid w:val="2D392502"/>
    <w:rsid w:val="2D4F03B2"/>
    <w:rsid w:val="2D915768"/>
    <w:rsid w:val="2DA11C53"/>
    <w:rsid w:val="2DE97352"/>
    <w:rsid w:val="2DEE021C"/>
    <w:rsid w:val="2DFE0923"/>
    <w:rsid w:val="2E276A03"/>
    <w:rsid w:val="2E427FFA"/>
    <w:rsid w:val="2EB37960"/>
    <w:rsid w:val="2F4B1946"/>
    <w:rsid w:val="2F6649D2"/>
    <w:rsid w:val="2FA555EB"/>
    <w:rsid w:val="2FCC21FD"/>
    <w:rsid w:val="30086CAC"/>
    <w:rsid w:val="30475715"/>
    <w:rsid w:val="306647F7"/>
    <w:rsid w:val="30A52CAE"/>
    <w:rsid w:val="30BF545A"/>
    <w:rsid w:val="30DB6CFA"/>
    <w:rsid w:val="31293F09"/>
    <w:rsid w:val="32230959"/>
    <w:rsid w:val="3304474F"/>
    <w:rsid w:val="33E136A3"/>
    <w:rsid w:val="34034EE6"/>
    <w:rsid w:val="34681B9C"/>
    <w:rsid w:val="347831DE"/>
    <w:rsid w:val="347A52C4"/>
    <w:rsid w:val="350E3FC1"/>
    <w:rsid w:val="35312FF1"/>
    <w:rsid w:val="35A457E0"/>
    <w:rsid w:val="360A4309"/>
    <w:rsid w:val="37081A16"/>
    <w:rsid w:val="3731289B"/>
    <w:rsid w:val="378B3228"/>
    <w:rsid w:val="37B22EAA"/>
    <w:rsid w:val="37E66CE8"/>
    <w:rsid w:val="38044D88"/>
    <w:rsid w:val="381F1BC2"/>
    <w:rsid w:val="38DD7AB3"/>
    <w:rsid w:val="393C0D5F"/>
    <w:rsid w:val="39423DBA"/>
    <w:rsid w:val="39A46823"/>
    <w:rsid w:val="3A3500A9"/>
    <w:rsid w:val="3A4122C4"/>
    <w:rsid w:val="3ADB5B41"/>
    <w:rsid w:val="3B021A53"/>
    <w:rsid w:val="3B642DE4"/>
    <w:rsid w:val="3B9878E7"/>
    <w:rsid w:val="3BB70A8F"/>
    <w:rsid w:val="3C29300F"/>
    <w:rsid w:val="3C85293C"/>
    <w:rsid w:val="3CC72DC1"/>
    <w:rsid w:val="3D347EBE"/>
    <w:rsid w:val="3D3C5667"/>
    <w:rsid w:val="3D57464A"/>
    <w:rsid w:val="3D9D1F07"/>
    <w:rsid w:val="3E29379B"/>
    <w:rsid w:val="3E676755"/>
    <w:rsid w:val="3EE80F60"/>
    <w:rsid w:val="40291830"/>
    <w:rsid w:val="40412A32"/>
    <w:rsid w:val="40890521"/>
    <w:rsid w:val="40A84E4B"/>
    <w:rsid w:val="40ED6D01"/>
    <w:rsid w:val="410B53A2"/>
    <w:rsid w:val="41F30347"/>
    <w:rsid w:val="41F63994"/>
    <w:rsid w:val="424B36B4"/>
    <w:rsid w:val="427E6886"/>
    <w:rsid w:val="42CD6DEA"/>
    <w:rsid w:val="42FC76D0"/>
    <w:rsid w:val="43754D8C"/>
    <w:rsid w:val="43BD12DC"/>
    <w:rsid w:val="43CF074C"/>
    <w:rsid w:val="44136B6E"/>
    <w:rsid w:val="44CE5A6E"/>
    <w:rsid w:val="44F00B6E"/>
    <w:rsid w:val="453749EF"/>
    <w:rsid w:val="45375398"/>
    <w:rsid w:val="4541761C"/>
    <w:rsid w:val="455F7AA2"/>
    <w:rsid w:val="45815C6A"/>
    <w:rsid w:val="45B44292"/>
    <w:rsid w:val="45FE550D"/>
    <w:rsid w:val="461E47A9"/>
    <w:rsid w:val="46250CEB"/>
    <w:rsid w:val="46960F9A"/>
    <w:rsid w:val="46C36B78"/>
    <w:rsid w:val="47174AD8"/>
    <w:rsid w:val="476F66C2"/>
    <w:rsid w:val="477A6E15"/>
    <w:rsid w:val="477C109A"/>
    <w:rsid w:val="47A143A2"/>
    <w:rsid w:val="47F619E6"/>
    <w:rsid w:val="483B2A48"/>
    <w:rsid w:val="48EC789E"/>
    <w:rsid w:val="48FA1FBB"/>
    <w:rsid w:val="4A121587"/>
    <w:rsid w:val="4A2F038B"/>
    <w:rsid w:val="4A8775A0"/>
    <w:rsid w:val="4AD66A58"/>
    <w:rsid w:val="4AEA6060"/>
    <w:rsid w:val="4AFA62A3"/>
    <w:rsid w:val="4B353046"/>
    <w:rsid w:val="4BC3299F"/>
    <w:rsid w:val="4BF67322"/>
    <w:rsid w:val="4C1D4605"/>
    <w:rsid w:val="4C5D5F15"/>
    <w:rsid w:val="4C9170DB"/>
    <w:rsid w:val="4D2717ED"/>
    <w:rsid w:val="4D6420F9"/>
    <w:rsid w:val="4DD03C33"/>
    <w:rsid w:val="4ED22BA5"/>
    <w:rsid w:val="4EDD2E38"/>
    <w:rsid w:val="4F471CD3"/>
    <w:rsid w:val="4F7242E4"/>
    <w:rsid w:val="4FB07B78"/>
    <w:rsid w:val="4FC11A85"/>
    <w:rsid w:val="4FDA48F5"/>
    <w:rsid w:val="50075C4C"/>
    <w:rsid w:val="5023629C"/>
    <w:rsid w:val="50D47596"/>
    <w:rsid w:val="51984A67"/>
    <w:rsid w:val="51A96C75"/>
    <w:rsid w:val="51B050F8"/>
    <w:rsid w:val="525766D1"/>
    <w:rsid w:val="528648C0"/>
    <w:rsid w:val="52BE04FE"/>
    <w:rsid w:val="52CB684F"/>
    <w:rsid w:val="530A5D6A"/>
    <w:rsid w:val="5371731E"/>
    <w:rsid w:val="53823C12"/>
    <w:rsid w:val="53933738"/>
    <w:rsid w:val="53DE3680"/>
    <w:rsid w:val="53EA0E7E"/>
    <w:rsid w:val="53F57F4F"/>
    <w:rsid w:val="541F267B"/>
    <w:rsid w:val="54216F96"/>
    <w:rsid w:val="545D1960"/>
    <w:rsid w:val="54684BC5"/>
    <w:rsid w:val="5471136C"/>
    <w:rsid w:val="54F93A6F"/>
    <w:rsid w:val="55073254"/>
    <w:rsid w:val="556D1D67"/>
    <w:rsid w:val="5627460C"/>
    <w:rsid w:val="56464A92"/>
    <w:rsid w:val="56DE116E"/>
    <w:rsid w:val="578962FF"/>
    <w:rsid w:val="57FB7AFE"/>
    <w:rsid w:val="588C7E23"/>
    <w:rsid w:val="58A66F7F"/>
    <w:rsid w:val="596A5C75"/>
    <w:rsid w:val="59B9557B"/>
    <w:rsid w:val="5A710301"/>
    <w:rsid w:val="5BAD110F"/>
    <w:rsid w:val="5BDB5C7C"/>
    <w:rsid w:val="5C381321"/>
    <w:rsid w:val="5C8A6854"/>
    <w:rsid w:val="5C90552B"/>
    <w:rsid w:val="5C950521"/>
    <w:rsid w:val="5CA07520"/>
    <w:rsid w:val="5E0462CD"/>
    <w:rsid w:val="5E1804D5"/>
    <w:rsid w:val="5E7D150A"/>
    <w:rsid w:val="5F047298"/>
    <w:rsid w:val="5F4E2C09"/>
    <w:rsid w:val="5FC26020"/>
    <w:rsid w:val="5FE23C7A"/>
    <w:rsid w:val="6008725C"/>
    <w:rsid w:val="60A40EB9"/>
    <w:rsid w:val="60B46A9C"/>
    <w:rsid w:val="61C94F22"/>
    <w:rsid w:val="61CB0541"/>
    <w:rsid w:val="61E9004F"/>
    <w:rsid w:val="61EA40A5"/>
    <w:rsid w:val="62326812"/>
    <w:rsid w:val="62402CDD"/>
    <w:rsid w:val="62816E52"/>
    <w:rsid w:val="62CC58A4"/>
    <w:rsid w:val="6337144B"/>
    <w:rsid w:val="635B76A3"/>
    <w:rsid w:val="63732C3E"/>
    <w:rsid w:val="63A15AED"/>
    <w:rsid w:val="641E0DFC"/>
    <w:rsid w:val="64AC465A"/>
    <w:rsid w:val="64DD4813"/>
    <w:rsid w:val="651370D8"/>
    <w:rsid w:val="652C5AFB"/>
    <w:rsid w:val="654B64F1"/>
    <w:rsid w:val="65711400"/>
    <w:rsid w:val="6596347F"/>
    <w:rsid w:val="65B41774"/>
    <w:rsid w:val="65E676F8"/>
    <w:rsid w:val="662326FA"/>
    <w:rsid w:val="664663E8"/>
    <w:rsid w:val="664F1741"/>
    <w:rsid w:val="667C2102"/>
    <w:rsid w:val="669929BC"/>
    <w:rsid w:val="66A15D14"/>
    <w:rsid w:val="66D91016"/>
    <w:rsid w:val="66FA76D5"/>
    <w:rsid w:val="676D4DFE"/>
    <w:rsid w:val="677D0530"/>
    <w:rsid w:val="678C30B5"/>
    <w:rsid w:val="67EC2B21"/>
    <w:rsid w:val="67FB4A72"/>
    <w:rsid w:val="680447AD"/>
    <w:rsid w:val="681F15E7"/>
    <w:rsid w:val="69AE0AD0"/>
    <w:rsid w:val="6A0C7949"/>
    <w:rsid w:val="6AAE60B2"/>
    <w:rsid w:val="6AB55399"/>
    <w:rsid w:val="6AB65670"/>
    <w:rsid w:val="6AFA59F3"/>
    <w:rsid w:val="6B683A38"/>
    <w:rsid w:val="6BA951C5"/>
    <w:rsid w:val="6BE7241B"/>
    <w:rsid w:val="6C7216FC"/>
    <w:rsid w:val="6CCD33BF"/>
    <w:rsid w:val="6CE748DC"/>
    <w:rsid w:val="6D2531FB"/>
    <w:rsid w:val="6D282CEC"/>
    <w:rsid w:val="6D5C4F3B"/>
    <w:rsid w:val="6D617F82"/>
    <w:rsid w:val="6D7E290C"/>
    <w:rsid w:val="6DB413BA"/>
    <w:rsid w:val="6DCA78FF"/>
    <w:rsid w:val="6E423939"/>
    <w:rsid w:val="6E957F0D"/>
    <w:rsid w:val="6EA3225C"/>
    <w:rsid w:val="6EC569E3"/>
    <w:rsid w:val="6F1A6664"/>
    <w:rsid w:val="6F3670AA"/>
    <w:rsid w:val="6FEA4F48"/>
    <w:rsid w:val="708F6107"/>
    <w:rsid w:val="70E203EB"/>
    <w:rsid w:val="70F57389"/>
    <w:rsid w:val="71267542"/>
    <w:rsid w:val="7238577F"/>
    <w:rsid w:val="724A7260"/>
    <w:rsid w:val="72541E8D"/>
    <w:rsid w:val="72551311"/>
    <w:rsid w:val="729329B5"/>
    <w:rsid w:val="72975A47"/>
    <w:rsid w:val="736E1351"/>
    <w:rsid w:val="739C3AEB"/>
    <w:rsid w:val="73BE1CB4"/>
    <w:rsid w:val="73D736ED"/>
    <w:rsid w:val="7434641A"/>
    <w:rsid w:val="74C4154C"/>
    <w:rsid w:val="75BC0475"/>
    <w:rsid w:val="75C17839"/>
    <w:rsid w:val="760522CC"/>
    <w:rsid w:val="761C5CA8"/>
    <w:rsid w:val="765B026D"/>
    <w:rsid w:val="7706409E"/>
    <w:rsid w:val="783C3AEF"/>
    <w:rsid w:val="78650950"/>
    <w:rsid w:val="78A27DF6"/>
    <w:rsid w:val="78B673FD"/>
    <w:rsid w:val="792F71B0"/>
    <w:rsid w:val="79AC25AE"/>
    <w:rsid w:val="79AE6327"/>
    <w:rsid w:val="79B31B8F"/>
    <w:rsid w:val="7A5769BE"/>
    <w:rsid w:val="7A9D618C"/>
    <w:rsid w:val="7AA9783C"/>
    <w:rsid w:val="7AE55D78"/>
    <w:rsid w:val="7BA67BFD"/>
    <w:rsid w:val="7BD007D6"/>
    <w:rsid w:val="7BFC4F61"/>
    <w:rsid w:val="7C5D7262"/>
    <w:rsid w:val="7C993E71"/>
    <w:rsid w:val="7CB9570E"/>
    <w:rsid w:val="7D02607A"/>
    <w:rsid w:val="7D825C52"/>
    <w:rsid w:val="7D9817C8"/>
    <w:rsid w:val="7D9A3773"/>
    <w:rsid w:val="7DF10ED8"/>
    <w:rsid w:val="7E026C41"/>
    <w:rsid w:val="7E3272EA"/>
    <w:rsid w:val="7E6E7932"/>
    <w:rsid w:val="7EB15E2C"/>
    <w:rsid w:val="7EBC7738"/>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10788</Words>
  <Characters>11055</Characters>
  <Lines>31</Lines>
  <Paragraphs>36</Paragraphs>
  <TotalTime>6</TotalTime>
  <ScaleCrop>false</ScaleCrop>
  <LinksUpToDate>false</LinksUpToDate>
  <CharactersWithSpaces>11203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2025-10-31T08:04:54Z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899C4E6683024719BBC436B638994CD5_13</vt:lpwstr>
  </property>
  <property fmtid="{D5CDD505-2E9C-101B-9397-08002B2CF9AE}" pid="4" name="KSOTemplateDocerSaveRecord">
    <vt:lpwstr>eyJoZGlkIjoiNzVkOTMzYWVjZjI3Zjk2ODI2NDdmOGM0MzcwYjc1ZjkiLCJ1c2VySWQiOiIxNjQ5MzA0NjA3In0=</vt:lpwstr>
  </property>
</Properties>
</file>