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0C360">
      <w:pPr>
        <w:autoSpaceDE w:val="0"/>
        <w:autoSpaceDN w:val="0"/>
        <w:adjustRightInd w:val="0"/>
        <w:spacing w:line="360" w:lineRule="auto"/>
        <w:ind w:right="105" w:rightChars="50"/>
        <w:jc w:val="center"/>
        <w:rPr>
          <w:rFonts w:ascii="宋体" w:hAnsi="宋体"/>
          <w:b/>
          <w:color w:val="000000" w:themeColor="text1"/>
          <w:sz w:val="48"/>
          <w:szCs w:val="48"/>
        </w:rPr>
      </w:pPr>
      <w:bookmarkStart w:id="48" w:name="_GoBack"/>
      <w:bookmarkEnd w:id="48"/>
    </w:p>
    <w:p w14:paraId="570702AE">
      <w:pPr>
        <w:autoSpaceDE w:val="0"/>
        <w:autoSpaceDN w:val="0"/>
        <w:adjustRightInd w:val="0"/>
        <w:spacing w:line="360" w:lineRule="auto"/>
        <w:ind w:right="105" w:rightChars="50"/>
        <w:jc w:val="center"/>
        <w:rPr>
          <w:rFonts w:ascii="宋体" w:hAnsi="宋体"/>
          <w:b/>
          <w:color w:val="000000" w:themeColor="text1"/>
          <w:sz w:val="48"/>
          <w:szCs w:val="48"/>
        </w:rPr>
      </w:pPr>
    </w:p>
    <w:p w14:paraId="0AC3F954">
      <w:pPr>
        <w:pStyle w:val="15"/>
        <w:rPr>
          <w:color w:val="000000" w:themeColor="text1"/>
        </w:rPr>
      </w:pPr>
    </w:p>
    <w:p w14:paraId="02998785">
      <w:pPr>
        <w:rPr>
          <w:color w:val="000000" w:themeColor="text1"/>
        </w:rPr>
      </w:pPr>
    </w:p>
    <w:p w14:paraId="72B8BFC6">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扬州市第三人民医院</w:t>
      </w:r>
      <w:r>
        <w:rPr>
          <w:rFonts w:ascii="宋体" w:hAnsi="宋体"/>
          <w:b/>
          <w:color w:val="000000" w:themeColor="text1"/>
          <w:sz w:val="48"/>
          <w:szCs w:val="48"/>
        </w:rPr>
        <w:t>脂阿拉伯甘露聚糖检测外送服务</w:t>
      </w:r>
      <w:r>
        <w:rPr>
          <w:rFonts w:hint="eastAsia" w:ascii="宋体" w:hAnsi="宋体"/>
          <w:b/>
          <w:color w:val="000000" w:themeColor="text1"/>
          <w:sz w:val="48"/>
          <w:szCs w:val="48"/>
        </w:rPr>
        <w:t>采购项目</w:t>
      </w:r>
    </w:p>
    <w:p w14:paraId="0ADCA2F6">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招标文件</w:t>
      </w:r>
    </w:p>
    <w:p w14:paraId="5128B9A5">
      <w:pPr>
        <w:autoSpaceDE w:val="0"/>
        <w:autoSpaceDN w:val="0"/>
        <w:adjustRightInd w:val="0"/>
        <w:spacing w:line="360" w:lineRule="auto"/>
        <w:ind w:right="105" w:rightChars="50"/>
        <w:jc w:val="center"/>
        <w:rPr>
          <w:rFonts w:ascii="宋体" w:hAnsi="宋体"/>
          <w:b/>
          <w:color w:val="000000" w:themeColor="text1"/>
          <w:sz w:val="48"/>
          <w:szCs w:val="48"/>
        </w:rPr>
      </w:pPr>
    </w:p>
    <w:p w14:paraId="048B07D9">
      <w:pPr>
        <w:autoSpaceDE w:val="0"/>
        <w:autoSpaceDN w:val="0"/>
        <w:adjustRightInd w:val="0"/>
        <w:spacing w:line="360" w:lineRule="auto"/>
        <w:ind w:right="105" w:rightChars="50"/>
        <w:jc w:val="center"/>
        <w:rPr>
          <w:rFonts w:ascii="宋体" w:hAnsi="宋体"/>
          <w:b/>
          <w:color w:val="000000" w:themeColor="text1"/>
          <w:sz w:val="48"/>
          <w:szCs w:val="48"/>
        </w:rPr>
      </w:pPr>
    </w:p>
    <w:p w14:paraId="7B62146D">
      <w:pPr>
        <w:autoSpaceDE w:val="0"/>
        <w:autoSpaceDN w:val="0"/>
        <w:adjustRightInd w:val="0"/>
        <w:spacing w:line="360" w:lineRule="auto"/>
        <w:ind w:left="1901" w:leftChars="200" w:right="105" w:rightChars="50" w:hanging="1481" w:hangingChars="461"/>
        <w:rPr>
          <w:rFonts w:ascii="宋体" w:hAnsi="宋体"/>
          <w:b/>
          <w:color w:val="000000" w:themeColor="text1"/>
          <w:sz w:val="32"/>
          <w:szCs w:val="32"/>
        </w:rPr>
      </w:pPr>
      <w:r>
        <w:rPr>
          <w:rFonts w:hint="eastAsia" w:ascii="宋体" w:hAnsi="宋体"/>
          <w:b/>
          <w:color w:val="000000" w:themeColor="text1"/>
          <w:sz w:val="32"/>
          <w:szCs w:val="32"/>
        </w:rPr>
        <w:t>项目名称：扬州市第三人民医院</w:t>
      </w:r>
      <w:r>
        <w:rPr>
          <w:rFonts w:ascii="宋体" w:hAnsi="宋体"/>
          <w:b/>
          <w:color w:val="000000" w:themeColor="text1"/>
          <w:sz w:val="32"/>
          <w:szCs w:val="32"/>
        </w:rPr>
        <w:t>脂阿拉伯甘露聚糖检测外送服务</w:t>
      </w:r>
      <w:r>
        <w:rPr>
          <w:rFonts w:hint="eastAsia" w:ascii="宋体" w:hAnsi="宋体"/>
          <w:b/>
          <w:color w:val="000000" w:themeColor="text1"/>
          <w:sz w:val="32"/>
          <w:szCs w:val="32"/>
        </w:rPr>
        <w:t>采购项目</w:t>
      </w:r>
    </w:p>
    <w:p w14:paraId="418CE7B2">
      <w:pPr>
        <w:autoSpaceDE w:val="0"/>
        <w:autoSpaceDN w:val="0"/>
        <w:adjustRightInd w:val="0"/>
        <w:spacing w:line="360" w:lineRule="auto"/>
        <w:ind w:right="105" w:rightChars="50" w:firstLine="421" w:firstLineChars="131"/>
        <w:rPr>
          <w:rFonts w:ascii="宋体" w:hAnsi="宋体"/>
          <w:b/>
          <w:color w:val="000000" w:themeColor="text1"/>
          <w:sz w:val="32"/>
          <w:szCs w:val="32"/>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2025-035</w:t>
      </w:r>
    </w:p>
    <w:p w14:paraId="06636599">
      <w:pPr>
        <w:topLinePunct/>
        <w:spacing w:line="360" w:lineRule="auto"/>
        <w:ind w:firstLine="617" w:firstLineChars="192"/>
        <w:rPr>
          <w:rFonts w:ascii="宋体" w:hAnsi="宋体"/>
          <w:b/>
          <w:color w:val="000000" w:themeColor="text1"/>
          <w:sz w:val="32"/>
          <w:szCs w:val="32"/>
        </w:rPr>
      </w:pPr>
    </w:p>
    <w:p w14:paraId="790ADAEB">
      <w:pPr>
        <w:topLinePunct/>
        <w:spacing w:line="360" w:lineRule="auto"/>
        <w:ind w:firstLine="617" w:firstLineChars="192"/>
        <w:rPr>
          <w:rFonts w:ascii="宋体" w:hAnsi="宋体"/>
          <w:b/>
          <w:color w:val="000000" w:themeColor="text1"/>
          <w:sz w:val="32"/>
          <w:szCs w:val="32"/>
        </w:rPr>
      </w:pPr>
    </w:p>
    <w:p w14:paraId="10C16615">
      <w:pPr>
        <w:topLinePunct/>
        <w:spacing w:line="360" w:lineRule="auto"/>
        <w:ind w:firstLine="617" w:firstLineChars="192"/>
        <w:rPr>
          <w:rFonts w:ascii="宋体" w:hAnsi="宋体"/>
          <w:b/>
          <w:color w:val="000000" w:themeColor="text1"/>
          <w:sz w:val="32"/>
          <w:szCs w:val="32"/>
        </w:rPr>
      </w:pPr>
    </w:p>
    <w:p w14:paraId="7DD4F67D">
      <w:pPr>
        <w:topLinePunct/>
        <w:spacing w:line="360" w:lineRule="auto"/>
        <w:ind w:firstLine="617" w:firstLineChars="192"/>
        <w:rPr>
          <w:rFonts w:ascii="宋体" w:hAnsi="宋体"/>
          <w:b/>
          <w:color w:val="000000" w:themeColor="text1"/>
          <w:sz w:val="32"/>
          <w:szCs w:val="32"/>
        </w:rPr>
      </w:pPr>
    </w:p>
    <w:p w14:paraId="1AF157F4">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421115E7">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期：2025年9月19日</w:t>
      </w:r>
    </w:p>
    <w:p w14:paraId="15F0881A">
      <w:pPr>
        <w:spacing w:line="360" w:lineRule="auto"/>
        <w:ind w:firstLine="617" w:firstLineChars="192"/>
        <w:jc w:val="center"/>
        <w:rPr>
          <w:rFonts w:ascii="宋体" w:hAnsi="宋体" w:cs="Arial"/>
          <w:b/>
          <w:color w:val="000000" w:themeColor="text1"/>
          <w:sz w:val="32"/>
          <w:szCs w:val="32"/>
        </w:rPr>
      </w:pPr>
    </w:p>
    <w:p w14:paraId="6A7B2DEE">
      <w:pPr>
        <w:pStyle w:val="19"/>
        <w:spacing w:line="360" w:lineRule="auto"/>
        <w:ind w:firstLine="480" w:firstLineChars="200"/>
        <w:jc w:val="both"/>
        <w:rPr>
          <w:rFonts w:ascii="宋体" w:hAnsi="宋体" w:eastAsia="宋体"/>
          <w:color w:val="000000" w:themeColor="text1"/>
          <w:sz w:val="24"/>
        </w:rPr>
      </w:pPr>
    </w:p>
    <w:p w14:paraId="252DD878">
      <w:pPr>
        <w:pStyle w:val="134"/>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1C080784">
      <w:pPr>
        <w:pStyle w:val="15"/>
        <w:rPr>
          <w:color w:val="000000" w:themeColor="text1"/>
        </w:rPr>
      </w:pPr>
    </w:p>
    <w:p w14:paraId="6517C411">
      <w:pPr>
        <w:pStyle w:val="24"/>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27868E20">
      <w:pPr>
        <w:pStyle w:val="24"/>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477E53A2">
      <w:pPr>
        <w:pStyle w:val="26"/>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FAC0E93">
      <w:pPr>
        <w:pStyle w:val="26"/>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436C6486">
      <w:pPr>
        <w:pStyle w:val="26"/>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6ACD8205">
      <w:pPr>
        <w:pStyle w:val="26"/>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4F1A9F9B">
      <w:pPr>
        <w:pStyle w:val="26"/>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79003F56">
      <w:pPr>
        <w:pStyle w:val="26"/>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66727EC8">
      <w:pPr>
        <w:pStyle w:val="26"/>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7C4E4F44">
      <w:pPr>
        <w:pStyle w:val="26"/>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2FC39797">
      <w:pPr>
        <w:pStyle w:val="24"/>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8A596D9">
      <w:pPr>
        <w:pStyle w:val="24"/>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12</w:t>
      </w:r>
      <w:r>
        <w:rPr>
          <w:color w:val="000000" w:themeColor="text1"/>
          <w:sz w:val="24"/>
          <w:szCs w:val="24"/>
        </w:rPr>
        <w:fldChar w:fldCharType="end"/>
      </w:r>
      <w:r>
        <w:rPr>
          <w:color w:val="000000" w:themeColor="text1"/>
          <w:sz w:val="24"/>
          <w:szCs w:val="24"/>
        </w:rPr>
        <w:fldChar w:fldCharType="end"/>
      </w:r>
    </w:p>
    <w:p w14:paraId="0F711DF1">
      <w:pPr>
        <w:pStyle w:val="24"/>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15</w:t>
      </w:r>
      <w:r>
        <w:rPr>
          <w:color w:val="000000" w:themeColor="text1"/>
          <w:sz w:val="24"/>
          <w:szCs w:val="24"/>
        </w:rPr>
        <w:fldChar w:fldCharType="end"/>
      </w:r>
      <w:r>
        <w:rPr>
          <w:color w:val="000000" w:themeColor="text1"/>
          <w:sz w:val="24"/>
          <w:szCs w:val="24"/>
        </w:rPr>
        <w:fldChar w:fldCharType="end"/>
      </w:r>
    </w:p>
    <w:p w14:paraId="726BB874">
      <w:pPr>
        <w:pStyle w:val="24"/>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18</w:t>
      </w:r>
      <w:r>
        <w:rPr>
          <w:color w:val="000000" w:themeColor="text1"/>
          <w:sz w:val="24"/>
          <w:szCs w:val="24"/>
        </w:rPr>
        <w:fldChar w:fldCharType="end"/>
      </w:r>
      <w:r>
        <w:rPr>
          <w:color w:val="000000" w:themeColor="text1"/>
          <w:sz w:val="24"/>
          <w:szCs w:val="24"/>
        </w:rPr>
        <w:fldChar w:fldCharType="end"/>
      </w:r>
    </w:p>
    <w:p w14:paraId="2C862247">
      <w:pPr>
        <w:rPr>
          <w:color w:val="000000" w:themeColor="text1"/>
        </w:rPr>
      </w:pPr>
      <w:r>
        <w:rPr>
          <w:b/>
          <w:bCs/>
          <w:color w:val="000000" w:themeColor="text1"/>
          <w:sz w:val="24"/>
          <w:szCs w:val="24"/>
          <w:lang w:val="zh-CN"/>
        </w:rPr>
        <w:fldChar w:fldCharType="end"/>
      </w:r>
    </w:p>
    <w:p w14:paraId="554C39C1">
      <w:pPr>
        <w:spacing w:line="360" w:lineRule="auto"/>
        <w:rPr>
          <w:rFonts w:ascii="宋体"/>
          <w:b/>
          <w:color w:val="000000" w:themeColor="text1"/>
          <w:sz w:val="52"/>
        </w:rPr>
      </w:pPr>
    </w:p>
    <w:p w14:paraId="23CFF270">
      <w:pPr>
        <w:spacing w:line="360" w:lineRule="auto"/>
        <w:rPr>
          <w:rFonts w:ascii="宋体"/>
          <w:b/>
          <w:color w:val="000000" w:themeColor="text1"/>
          <w:sz w:val="52"/>
        </w:rPr>
      </w:pPr>
    </w:p>
    <w:p w14:paraId="562D0F66">
      <w:pPr>
        <w:spacing w:line="360" w:lineRule="auto"/>
        <w:rPr>
          <w:rFonts w:ascii="宋体"/>
          <w:b/>
          <w:color w:val="000000" w:themeColor="text1"/>
          <w:sz w:val="52"/>
        </w:rPr>
      </w:pPr>
    </w:p>
    <w:p w14:paraId="75018E9B">
      <w:pPr>
        <w:spacing w:line="360" w:lineRule="auto"/>
        <w:rPr>
          <w:rFonts w:ascii="宋体"/>
          <w:b/>
          <w:color w:val="000000" w:themeColor="text1"/>
          <w:sz w:val="52"/>
        </w:rPr>
      </w:pPr>
    </w:p>
    <w:p w14:paraId="0958BC16">
      <w:pPr>
        <w:spacing w:line="360" w:lineRule="auto"/>
        <w:jc w:val="center"/>
        <w:rPr>
          <w:rFonts w:ascii="宋体" w:hAnsi="宋体"/>
          <w:b/>
          <w:color w:val="000000" w:themeColor="text1"/>
          <w:sz w:val="36"/>
          <w:szCs w:val="36"/>
        </w:rPr>
        <w:sectPr>
          <w:headerReference r:id="rId3" w:type="default"/>
          <w:pgSz w:w="11906" w:h="16838"/>
          <w:pgMar w:top="1134" w:right="1418" w:bottom="1134" w:left="1418" w:header="567" w:footer="517" w:gutter="0"/>
          <w:pgNumType w:start="1"/>
          <w:cols w:space="720" w:num="1"/>
          <w:docGrid w:linePitch="312" w:charSpace="0"/>
        </w:sectPr>
      </w:pPr>
    </w:p>
    <w:p w14:paraId="142EACE1">
      <w:pPr>
        <w:pStyle w:val="2"/>
        <w:spacing w:before="0" w:after="0" w:line="360" w:lineRule="auto"/>
        <w:jc w:val="center"/>
        <w:rPr>
          <w:color w:val="000000" w:themeColor="text1"/>
          <w:sz w:val="36"/>
          <w:szCs w:val="36"/>
        </w:rPr>
      </w:pPr>
      <w:bookmarkStart w:id="0" w:name="_Toc132309520"/>
      <w:bookmarkStart w:id="1" w:name="_Toc168582596"/>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p>
    <w:p w14:paraId="4B38D4B3">
      <w:pPr>
        <w:pStyle w:val="19"/>
        <w:spacing w:line="360" w:lineRule="auto"/>
        <w:ind w:firstLine="420" w:firstLineChars="200"/>
        <w:jc w:val="both"/>
        <w:rPr>
          <w:rFonts w:ascii="宋体" w:hAnsi="宋体" w:eastAsia="宋体"/>
          <w:color w:val="000000" w:themeColor="text1"/>
          <w:sz w:val="21"/>
          <w:szCs w:val="21"/>
        </w:rPr>
      </w:pPr>
      <w:bookmarkStart w:id="2" w:name="OLE_LINK1"/>
      <w:bookmarkStart w:id="3" w:name="OLE_LINK2"/>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rPr>
        <w:t>采购脂阿拉伯甘露聚糖检测外送服务</w:t>
      </w:r>
      <w:r>
        <w:rPr>
          <w:rFonts w:hint="eastAsia" w:ascii="宋体" w:hAnsi="宋体" w:eastAsia="宋体"/>
          <w:color w:val="000000" w:themeColor="text1"/>
          <w:sz w:val="21"/>
          <w:szCs w:val="21"/>
        </w:rPr>
        <w:t>进行公开招标，欢迎符合相关条件的供应商参与投标。</w:t>
      </w:r>
    </w:p>
    <w:p w14:paraId="3BEACAE1">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338FABC0">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1、项目名称：扬州市第三人民医院脂阿拉伯甘露聚糖检测外送服务采购项目</w:t>
      </w:r>
    </w:p>
    <w:p w14:paraId="61E2D340">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2025-035</w:t>
      </w:r>
    </w:p>
    <w:p w14:paraId="2E49F03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3、项目采购内容：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766"/>
        <w:gridCol w:w="2366"/>
        <w:gridCol w:w="1847"/>
      </w:tblGrid>
      <w:tr w14:paraId="27D9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7573C257">
            <w:pPr>
              <w:pStyle w:val="19"/>
              <w:spacing w:line="240" w:lineRule="auto"/>
              <w:ind w:firstLine="0" w:firstLineChars="0"/>
              <w:jc w:val="center"/>
              <w:rPr>
                <w:rFonts w:ascii="宋体" w:hAnsi="宋体" w:eastAsia="宋体"/>
                <w:color w:val="000000" w:themeColor="text1"/>
                <w:sz w:val="21"/>
                <w:szCs w:val="21"/>
              </w:rPr>
            </w:pPr>
            <w:bookmarkStart w:id="6" w:name="OLE_LINK5"/>
            <w:r>
              <w:rPr>
                <w:rFonts w:hint="eastAsia" w:ascii="宋体" w:hAnsi="宋体" w:eastAsia="宋体"/>
                <w:color w:val="000000" w:themeColor="text1"/>
                <w:sz w:val="21"/>
                <w:szCs w:val="21"/>
              </w:rPr>
              <w:t>序号</w:t>
            </w:r>
          </w:p>
        </w:tc>
        <w:tc>
          <w:tcPr>
            <w:tcW w:w="3766" w:type="dxa"/>
            <w:shd w:val="clear" w:color="auto" w:fill="auto"/>
            <w:vAlign w:val="center"/>
          </w:tcPr>
          <w:p w14:paraId="629D607B">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检测项目名称</w:t>
            </w:r>
          </w:p>
        </w:tc>
        <w:tc>
          <w:tcPr>
            <w:tcW w:w="2366" w:type="dxa"/>
            <w:vAlign w:val="center"/>
          </w:tcPr>
          <w:p w14:paraId="71EED56E">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1847" w:type="dxa"/>
            <w:vAlign w:val="center"/>
          </w:tcPr>
          <w:p w14:paraId="4C98E137">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17AF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6B7FF536">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3766" w:type="dxa"/>
            <w:shd w:val="clear" w:color="auto" w:fill="auto"/>
            <w:vAlign w:val="center"/>
          </w:tcPr>
          <w:p w14:paraId="2B6891D9">
            <w:pPr>
              <w:widowControl/>
              <w:jc w:val="center"/>
              <w:textAlignment w:val="center"/>
              <w:rPr>
                <w:rFonts w:ascii="宋体" w:hAnsi="宋体" w:cs="宋体"/>
                <w:color w:val="000000" w:themeColor="text1"/>
                <w:szCs w:val="21"/>
              </w:rPr>
            </w:pPr>
            <w:r>
              <w:rPr>
                <w:rFonts w:hint="eastAsia"/>
                <w:szCs w:val="21"/>
              </w:rPr>
              <w:t>脂阿拉伯甘露聚糖检测</w:t>
            </w:r>
          </w:p>
        </w:tc>
        <w:tc>
          <w:tcPr>
            <w:tcW w:w="2366" w:type="dxa"/>
            <w:shd w:val="clear" w:color="auto" w:fill="auto"/>
            <w:vAlign w:val="center"/>
          </w:tcPr>
          <w:p w14:paraId="18AB7A84">
            <w:pPr>
              <w:jc w:val="center"/>
              <w:rPr>
                <w:rFonts w:ascii="宋体" w:hAnsi="宋体"/>
                <w:color w:val="000000" w:themeColor="text1"/>
                <w:szCs w:val="21"/>
              </w:rPr>
            </w:pPr>
            <w:r>
              <w:rPr>
                <w:rFonts w:hint="eastAsia" w:ascii="宋体" w:hAnsi="宋体" w:cs="宋体"/>
                <w:color w:val="000000" w:themeColor="text1"/>
                <w:szCs w:val="21"/>
              </w:rPr>
              <w:t>按实际完成量结算</w:t>
            </w:r>
          </w:p>
        </w:tc>
        <w:tc>
          <w:tcPr>
            <w:tcW w:w="1847" w:type="dxa"/>
            <w:shd w:val="clear" w:color="auto" w:fill="auto"/>
            <w:vAlign w:val="center"/>
          </w:tcPr>
          <w:p w14:paraId="1A58FD86">
            <w:pPr>
              <w:jc w:val="center"/>
              <w:rPr>
                <w:rFonts w:ascii="宋体" w:hAnsi="宋体"/>
                <w:color w:val="000000" w:themeColor="text1"/>
                <w:szCs w:val="21"/>
              </w:rPr>
            </w:pPr>
          </w:p>
        </w:tc>
      </w:tr>
      <w:bookmarkEnd w:id="6"/>
    </w:tbl>
    <w:p w14:paraId="4C7FEE19">
      <w:pPr>
        <w:spacing w:line="360" w:lineRule="auto"/>
        <w:ind w:firstLine="420" w:firstLineChars="200"/>
        <w:rPr>
          <w:rFonts w:ascii="宋体" w:hAnsi="宋体" w:cs="宋体"/>
          <w:color w:val="000000" w:themeColor="text1"/>
        </w:rPr>
      </w:pPr>
      <w:bookmarkStart w:id="7" w:name="EB9076963b694f4defa1e0710aaf4b1bae"/>
      <w:r>
        <w:rPr>
          <w:rFonts w:hint="eastAsia" w:ascii="宋体" w:hAnsi="宋体" w:cs="宋体"/>
          <w:color w:val="000000" w:themeColor="text1"/>
        </w:rPr>
        <w:t>4、采购方式：公开招标</w:t>
      </w:r>
    </w:p>
    <w:p w14:paraId="4B4C64E3">
      <w:pPr>
        <w:spacing w:line="360" w:lineRule="auto"/>
        <w:ind w:firstLine="420"/>
        <w:rPr>
          <w:rFonts w:ascii="宋体" w:hAnsi="宋体"/>
          <w:color w:val="000000" w:themeColor="text1"/>
          <w:szCs w:val="21"/>
        </w:rPr>
      </w:pPr>
      <w:r>
        <w:rPr>
          <w:rFonts w:hint="eastAsia" w:ascii="宋体" w:hAnsi="宋体" w:cs="宋体"/>
          <w:color w:val="000000" w:themeColor="text1"/>
        </w:rPr>
        <w:t>5、本项目</w:t>
      </w:r>
      <w:r>
        <w:rPr>
          <w:rFonts w:hint="eastAsia" w:ascii="宋体" w:hAnsi="宋体" w:cs="宋体"/>
          <w:color w:val="000000" w:themeColor="text1"/>
          <w:szCs w:val="21"/>
        </w:rPr>
        <w:t>预算8万元</w:t>
      </w:r>
      <w:r>
        <w:rPr>
          <w:rFonts w:hint="eastAsia" w:ascii="宋体" w:hAnsi="宋体"/>
          <w:color w:val="000000" w:themeColor="text1"/>
          <w:szCs w:val="21"/>
        </w:rPr>
        <w:t>。</w:t>
      </w:r>
    </w:p>
    <w:p w14:paraId="2D642508">
      <w:pPr>
        <w:spacing w:line="360" w:lineRule="auto"/>
        <w:ind w:firstLine="420"/>
        <w:rPr>
          <w:rFonts w:cs="宋体"/>
          <w:szCs w:val="21"/>
        </w:rPr>
      </w:pPr>
      <w:r>
        <w:rPr>
          <w:rFonts w:hint="eastAsia" w:ascii="宋体" w:hAnsi="宋体" w:cs="宋体"/>
          <w:color w:val="000000" w:themeColor="text1"/>
          <w:szCs w:val="21"/>
        </w:rPr>
        <w:t>6、采购需求：见招标文件第四章。</w:t>
      </w:r>
    </w:p>
    <w:p w14:paraId="761EB9D1">
      <w:pPr>
        <w:spacing w:line="360" w:lineRule="auto"/>
        <w:ind w:firstLine="420"/>
        <w:rPr>
          <w:rFonts w:ascii="宋体" w:hAnsi="宋体" w:cs="宋体"/>
          <w:color w:val="000000" w:themeColor="text1"/>
          <w:szCs w:val="21"/>
        </w:rPr>
      </w:pPr>
      <w:r>
        <w:rPr>
          <w:rFonts w:hint="eastAsia" w:ascii="宋体" w:hAnsi="宋体" w:cs="宋体"/>
          <w:color w:val="000000" w:themeColor="text1"/>
          <w:szCs w:val="21"/>
        </w:rPr>
        <w:t>7、本项目不接受联合体投标。</w:t>
      </w:r>
    </w:p>
    <w:p w14:paraId="633D50FC">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7"/>
    <w:p w14:paraId="4FBB8DB0">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78591217">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34012692">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4A2CCD38">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4406CDEB">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5DA4BC3A">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5C8C248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22614C6A">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49B8E429">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22D6F8AD">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2E407832">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42934491">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A4328E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2A0D2541">
      <w:pPr>
        <w:spacing w:line="360" w:lineRule="auto"/>
        <w:ind w:firstLine="420" w:firstLineChars="200"/>
        <w:rPr>
          <w:rFonts w:ascii="宋体" w:hAnsi="宋体"/>
          <w:color w:val="000000" w:themeColor="text1"/>
          <w:szCs w:val="21"/>
        </w:rPr>
      </w:pPr>
      <w:bookmarkStart w:id="8" w:name="EB9e6dce6793cb41cca0a716f513793ffa"/>
      <w:r>
        <w:rPr>
          <w:rFonts w:hint="eastAsia" w:ascii="宋体" w:hAnsi="宋体"/>
          <w:color w:val="000000" w:themeColor="text1"/>
          <w:szCs w:val="21"/>
        </w:rPr>
        <w:t>（一）信用信息查询渠道为：“信用中国”网（www.creditchina.gov.cn）、“中国政府采购”网（www.ccgp.gov.cn）。</w:t>
      </w:r>
    </w:p>
    <w:p w14:paraId="0950394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6A5C700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1D8218D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8"/>
    </w:p>
    <w:p w14:paraId="6EBD6BBD">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四、报名及招标文件获取信息</w:t>
      </w:r>
    </w:p>
    <w:p w14:paraId="0CE0E95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1、报名时间：2025年9月19日起至9月25日15时止</w:t>
      </w:r>
      <w:r>
        <w:rPr>
          <w:rFonts w:hint="eastAsia" w:ascii="宋体" w:hAnsi="宋体"/>
          <w:color w:val="C00000"/>
          <w:szCs w:val="21"/>
        </w:rPr>
        <w:t>，</w:t>
      </w:r>
      <w:r>
        <w:rPr>
          <w:rFonts w:hint="eastAsia" w:ascii="宋体" w:hAnsi="宋体"/>
          <w:color w:val="000000" w:themeColor="text1"/>
          <w:szCs w:val="21"/>
        </w:rPr>
        <w:t>每天8:15-11:45，14:00-17:00（节假日除外）。</w:t>
      </w:r>
    </w:p>
    <w:p w14:paraId="1BCFB318">
      <w:pPr>
        <w:spacing w:line="360" w:lineRule="auto"/>
        <w:ind w:firstLine="420" w:firstLineChars="200"/>
        <w:rPr>
          <w:rFonts w:ascii="宋体" w:hAnsi="宋体"/>
          <w:color w:val="000000" w:themeColor="text1"/>
          <w:szCs w:val="21"/>
        </w:rPr>
      </w:pPr>
      <w:r>
        <w:rPr>
          <w:rFonts w:hint="eastAsia" w:ascii="宋体" w:hAnsi="宋体" w:cs="宋体"/>
          <w:color w:val="000000" w:themeColor="text1"/>
          <w:kern w:val="0"/>
          <w:szCs w:val="21"/>
        </w:rPr>
        <w:t>2、报名方式：现场报名或网络报名，投标人还需要</w:t>
      </w:r>
      <w:r>
        <w:rPr>
          <w:rFonts w:hint="eastAsia" w:ascii="宋体" w:hAnsi="宋体"/>
          <w:color w:val="000000" w:themeColor="text1"/>
          <w:szCs w:val="21"/>
        </w:rPr>
        <w:t>将报名的项目名称、投标产品名称、品牌、型号、供应商公司名称、企业营业执照</w:t>
      </w:r>
      <w:r>
        <w:rPr>
          <w:rFonts w:hint="eastAsia" w:ascii="宋体" w:hAnsi="宋体" w:cs="仿宋"/>
          <w:color w:val="000000" w:themeColor="text1"/>
          <w:kern w:val="0"/>
          <w:szCs w:val="21"/>
        </w:rPr>
        <w:t>（传图片）</w:t>
      </w:r>
      <w:r>
        <w:rPr>
          <w:rFonts w:hint="eastAsia" w:ascii="宋体" w:hAnsi="宋体"/>
          <w:color w:val="000000" w:themeColor="text1"/>
          <w:szCs w:val="21"/>
        </w:rPr>
        <w:t>、联系人及电话等信息发送至邮箱：</w:t>
      </w:r>
      <w:r>
        <w:fldChar w:fldCharType="begin"/>
      </w:r>
      <w:r>
        <w:instrText xml:space="preserve"> HYPERLINK "mailto:yzsyylqxk@163.com" </w:instrText>
      </w:r>
      <w:r>
        <w:fldChar w:fldCharType="separate"/>
      </w:r>
      <w:r>
        <w:rPr>
          <w:rStyle w:val="39"/>
          <w:rFonts w:ascii="宋体" w:hAnsi="宋体"/>
          <w:color w:val="000000" w:themeColor="text1"/>
          <w:szCs w:val="21"/>
        </w:rPr>
        <w:t>yzsyylqxk@163.com</w:t>
      </w:r>
      <w:r>
        <w:rPr>
          <w:rStyle w:val="39"/>
          <w:rFonts w:ascii="宋体" w:hAnsi="宋体"/>
          <w:color w:val="000000" w:themeColor="text1"/>
          <w:szCs w:val="21"/>
        </w:rPr>
        <w:fldChar w:fldCharType="end"/>
      </w:r>
      <w:r>
        <w:rPr>
          <w:rFonts w:hint="eastAsia" w:ascii="宋体" w:hAnsi="宋体"/>
          <w:color w:val="000000" w:themeColor="text1"/>
          <w:szCs w:val="21"/>
        </w:rPr>
        <w:t>，标题注明报名的项目名称及本公司名称。</w:t>
      </w:r>
    </w:p>
    <w:p w14:paraId="3F846E6C">
      <w:pPr>
        <w:spacing w:line="360" w:lineRule="auto"/>
        <w:ind w:firstLine="420" w:firstLineChars="200"/>
        <w:rPr>
          <w:rFonts w:ascii="宋体" w:hAnsi="宋体" w:cs="宋体"/>
          <w:color w:val="000000" w:themeColor="text1"/>
          <w:kern w:val="0"/>
          <w:szCs w:val="21"/>
        </w:rPr>
      </w:pPr>
      <w:r>
        <w:rPr>
          <w:rFonts w:hint="eastAsia" w:ascii="宋体" w:hAnsi="宋体" w:cs="仿宋"/>
          <w:color w:val="000000" w:themeColor="text1"/>
          <w:kern w:val="0"/>
          <w:szCs w:val="21"/>
        </w:rPr>
        <w:t>3、报名</w:t>
      </w:r>
      <w:r>
        <w:rPr>
          <w:rFonts w:ascii="宋体" w:hAnsi="宋体" w:cs="仿宋"/>
          <w:color w:val="000000" w:themeColor="text1"/>
          <w:kern w:val="0"/>
          <w:szCs w:val="21"/>
        </w:rPr>
        <w:t>地址：扬州市第三人民医院</w:t>
      </w:r>
      <w:r>
        <w:rPr>
          <w:rFonts w:hint="eastAsia" w:ascii="宋体" w:hAnsi="宋体" w:cs="仿宋"/>
          <w:color w:val="000000" w:themeColor="text1"/>
          <w:kern w:val="0"/>
          <w:szCs w:val="21"/>
        </w:rPr>
        <w:t>医疗器械科。</w:t>
      </w:r>
    </w:p>
    <w:p w14:paraId="67C954DF">
      <w:pPr>
        <w:spacing w:line="360" w:lineRule="auto"/>
        <w:ind w:firstLine="420" w:firstLineChars="200"/>
        <w:rPr>
          <w:rFonts w:ascii="宋体" w:hAnsi="宋体" w:cs="宋体"/>
          <w:color w:val="000000" w:themeColor="text1"/>
          <w:kern w:val="0"/>
          <w:szCs w:val="21"/>
        </w:rPr>
      </w:pPr>
      <w:r>
        <w:rPr>
          <w:rFonts w:ascii="宋体" w:hAnsi="宋体" w:cs="宋体"/>
          <w:color w:val="000000" w:themeColor="text1"/>
          <w:kern w:val="0"/>
          <w:szCs w:val="21"/>
        </w:rPr>
        <w:t>4</w:t>
      </w:r>
      <w:r>
        <w:rPr>
          <w:rFonts w:hint="eastAsia" w:ascii="宋体" w:hAnsi="宋体" w:cs="宋体"/>
          <w:color w:val="000000" w:themeColor="text1"/>
          <w:kern w:val="0"/>
          <w:szCs w:val="21"/>
        </w:rPr>
        <w:t>、招标文件获取方式：见附件，请自行免费下载。</w:t>
      </w:r>
    </w:p>
    <w:p w14:paraId="39D8E81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五、响应文件接收及开标信息</w:t>
      </w:r>
    </w:p>
    <w:p w14:paraId="7BD5122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1、响应文件开始接收时间：2025年9月26日14:00</w:t>
      </w:r>
    </w:p>
    <w:p w14:paraId="5CF0E8B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2、响应文件接收截止时间及</w:t>
      </w:r>
      <w:r>
        <w:rPr>
          <w:rFonts w:hint="eastAsia" w:ascii="宋体" w:hAnsi="宋体" w:cs="宋体"/>
          <w:color w:val="000000" w:themeColor="text1"/>
          <w:kern w:val="0"/>
          <w:szCs w:val="21"/>
        </w:rPr>
        <w:t>开标</w:t>
      </w:r>
      <w:r>
        <w:rPr>
          <w:rFonts w:hint="eastAsia" w:ascii="宋体" w:hAnsi="宋体" w:cs="仿宋"/>
          <w:color w:val="000000" w:themeColor="text1"/>
          <w:kern w:val="0"/>
          <w:szCs w:val="21"/>
        </w:rPr>
        <w:t>时间：2025年9月26日14:30</w:t>
      </w:r>
    </w:p>
    <w:p w14:paraId="7028C3A9">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3、响应文件接收及开标地点：</w:t>
      </w:r>
      <w:r>
        <w:rPr>
          <w:rFonts w:hint="eastAsia" w:cs="仿宋" w:asciiTheme="minorEastAsia" w:hAnsiTheme="minorEastAsia"/>
          <w:color w:val="000000"/>
          <w:kern w:val="0"/>
          <w:szCs w:val="21"/>
        </w:rPr>
        <w:t>扬州市邗江区杨庙镇苍颉路2号扬州市第三人民医院1</w:t>
      </w:r>
      <w:r>
        <w:rPr>
          <w:rFonts w:cs="仿宋" w:asciiTheme="minorEastAsia" w:hAnsiTheme="minorEastAsia"/>
          <w:color w:val="000000"/>
          <w:kern w:val="0"/>
          <w:szCs w:val="21"/>
        </w:rPr>
        <w:t>#</w:t>
      </w:r>
      <w:r>
        <w:rPr>
          <w:rFonts w:hint="eastAsia" w:cs="仿宋" w:asciiTheme="minorEastAsia" w:hAnsiTheme="minorEastAsia"/>
          <w:color w:val="000000"/>
          <w:kern w:val="0"/>
          <w:szCs w:val="21"/>
        </w:rPr>
        <w:t>楼四楼小会议室。</w:t>
      </w:r>
    </w:p>
    <w:p w14:paraId="3555B67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六</w:t>
      </w:r>
      <w:r>
        <w:rPr>
          <w:rFonts w:ascii="宋体" w:hAnsi="宋体"/>
          <w:b/>
          <w:color w:val="000000" w:themeColor="text1"/>
          <w:szCs w:val="21"/>
        </w:rPr>
        <w:t>、联系事项</w:t>
      </w:r>
    </w:p>
    <w:p w14:paraId="6340784F">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联系人：</w:t>
      </w:r>
      <w:r>
        <w:rPr>
          <w:rFonts w:hint="eastAsia" w:ascii="宋体" w:hAnsi="宋体" w:cs="仿宋"/>
          <w:color w:val="000000" w:themeColor="text1"/>
          <w:kern w:val="0"/>
          <w:szCs w:val="21"/>
        </w:rPr>
        <w:t>叶老师</w:t>
      </w:r>
    </w:p>
    <w:p w14:paraId="182CD944">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联系电话：</w:t>
      </w:r>
      <w:r>
        <w:rPr>
          <w:rFonts w:hint="eastAsia" w:ascii="宋体" w:hAnsi="宋体" w:cs="仿宋"/>
          <w:color w:val="000000" w:themeColor="text1"/>
          <w:kern w:val="0"/>
          <w:szCs w:val="21"/>
        </w:rPr>
        <w:t>0514-87837927</w:t>
      </w:r>
    </w:p>
    <w:p w14:paraId="5AF88F00">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联系地址：扬州市第三人民医院</w:t>
      </w:r>
      <w:r>
        <w:rPr>
          <w:rFonts w:hint="eastAsia" w:ascii="宋体" w:hAnsi="宋体" w:cs="仿宋"/>
          <w:color w:val="000000" w:themeColor="text1"/>
          <w:kern w:val="0"/>
          <w:szCs w:val="21"/>
        </w:rPr>
        <w:t>医疗器械科</w:t>
      </w:r>
    </w:p>
    <w:p w14:paraId="628432F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七、公告期限及其他事项</w:t>
      </w:r>
    </w:p>
    <w:p w14:paraId="1D2B5874">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w:t>
      </w:r>
      <w:r>
        <w:rPr>
          <w:rFonts w:ascii="宋体" w:hAnsi="宋体" w:cs="仿宋"/>
          <w:color w:val="000000" w:themeColor="text1"/>
          <w:kern w:val="0"/>
          <w:szCs w:val="21"/>
        </w:rPr>
        <w:t>公告期限：为</w:t>
      </w:r>
      <w:r>
        <w:rPr>
          <w:rFonts w:hint="eastAsia" w:ascii="宋体" w:hAnsi="宋体" w:cs="仿宋"/>
          <w:color w:val="000000" w:themeColor="text1"/>
          <w:kern w:val="0"/>
          <w:szCs w:val="21"/>
        </w:rPr>
        <w:t>招标文件</w:t>
      </w:r>
      <w:r>
        <w:rPr>
          <w:rFonts w:ascii="宋体" w:hAnsi="宋体" w:cs="仿宋"/>
          <w:color w:val="000000" w:themeColor="text1"/>
          <w:kern w:val="0"/>
          <w:szCs w:val="21"/>
        </w:rPr>
        <w:t>公告发布之日起</w:t>
      </w:r>
      <w:r>
        <w:rPr>
          <w:rFonts w:hint="eastAsia" w:ascii="宋体" w:hAnsi="宋体" w:cs="仿宋"/>
          <w:color w:val="000000" w:themeColor="text1"/>
          <w:kern w:val="0"/>
          <w:szCs w:val="21"/>
        </w:rPr>
        <w:t>五</w:t>
      </w:r>
      <w:r>
        <w:rPr>
          <w:rFonts w:ascii="宋体" w:hAnsi="宋体" w:cs="仿宋"/>
          <w:color w:val="000000" w:themeColor="text1"/>
          <w:kern w:val="0"/>
          <w:szCs w:val="21"/>
        </w:rPr>
        <w:t>个工作日。公告发布媒体：</w:t>
      </w:r>
      <w:r>
        <w:rPr>
          <w:rFonts w:hint="eastAsia" w:ascii="宋体" w:hAnsi="宋体" w:cs="仿宋"/>
          <w:color w:val="000000" w:themeColor="text1"/>
          <w:kern w:val="0"/>
          <w:szCs w:val="21"/>
        </w:rPr>
        <w:t>扬州市第三人民医院官网</w:t>
      </w:r>
      <w:r>
        <w:rPr>
          <w:rFonts w:ascii="宋体" w:hAnsi="宋体" w:cs="仿宋"/>
          <w:color w:val="000000" w:themeColor="text1"/>
          <w:kern w:val="0"/>
          <w:szCs w:val="21"/>
        </w:rPr>
        <w:t>。</w:t>
      </w:r>
    </w:p>
    <w:p w14:paraId="0CDCA0EA">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2、以上公告内容如有变动，将在相关网络媒体上另行通知。</w:t>
      </w:r>
    </w:p>
    <w:p w14:paraId="6AD0FDF4">
      <w:pPr>
        <w:spacing w:line="360" w:lineRule="auto"/>
        <w:ind w:firstLine="420" w:firstLineChars="200"/>
        <w:rPr>
          <w:rFonts w:ascii="宋体" w:hAnsi="宋体" w:cs="仿宋"/>
          <w:color w:val="000000" w:themeColor="text1"/>
          <w:kern w:val="0"/>
          <w:szCs w:val="21"/>
        </w:rPr>
      </w:pPr>
    </w:p>
    <w:p w14:paraId="4D295E77">
      <w:pPr>
        <w:spacing w:line="360" w:lineRule="auto"/>
        <w:ind w:right="960" w:firstLine="200"/>
        <w:jc w:val="left"/>
        <w:rPr>
          <w:rFonts w:ascii="宋体" w:hAnsi="宋体" w:cs="仿宋"/>
          <w:color w:val="000000" w:themeColor="text1"/>
          <w:kern w:val="0"/>
          <w:szCs w:val="21"/>
        </w:rPr>
      </w:pP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olor w:val="000000" w:themeColor="text1"/>
          <w:szCs w:val="21"/>
        </w:rPr>
        <w:t xml:space="preserve"> </w:t>
      </w:r>
      <w:r>
        <w:rPr>
          <w:rFonts w:hint="eastAsia" w:ascii="宋体" w:hAnsi="宋体" w:cs="仿宋"/>
          <w:color w:val="000000" w:themeColor="text1"/>
          <w:kern w:val="0"/>
          <w:szCs w:val="21"/>
        </w:rPr>
        <w:t xml:space="preserve">扬州市第三人民医院 </w:t>
      </w:r>
    </w:p>
    <w:p w14:paraId="0D3570E0">
      <w:pPr>
        <w:spacing w:line="360" w:lineRule="auto"/>
        <w:ind w:right="960" w:firstLine="200"/>
        <w:jc w:val="center"/>
        <w:rPr>
          <w:rFonts w:ascii="宋体" w:hAnsi="宋体"/>
          <w:b/>
          <w:color w:val="000000" w:themeColor="text1"/>
          <w:szCs w:val="21"/>
        </w:rPr>
      </w:pPr>
      <w:bookmarkStart w:id="9" w:name="EBc34483d5650b4e63ba1e7b68d2910faa"/>
      <w:r>
        <w:rPr>
          <w:rFonts w:hint="eastAsia" w:ascii="宋体" w:hAnsi="宋体" w:cs="仿宋"/>
          <w:color w:val="000000" w:themeColor="text1"/>
          <w:kern w:val="0"/>
          <w:szCs w:val="21"/>
        </w:rPr>
        <w:t xml:space="preserve">                                             </w:t>
      </w:r>
      <w:bookmarkEnd w:id="4"/>
      <w:bookmarkEnd w:id="9"/>
      <w:r>
        <w:rPr>
          <w:rFonts w:hint="eastAsia" w:ascii="宋体" w:hAnsi="宋体" w:cs="仿宋"/>
          <w:color w:val="000000" w:themeColor="text1"/>
          <w:kern w:val="0"/>
          <w:szCs w:val="21"/>
        </w:rPr>
        <w:t>2025年9月</w:t>
      </w:r>
      <w:r>
        <w:rPr>
          <w:rFonts w:hint="eastAsia" w:ascii="宋体" w:hAnsi="宋体" w:cs="仿宋"/>
          <w:color w:val="000000" w:themeColor="text1"/>
          <w:kern w:val="0"/>
          <w:szCs w:val="21"/>
          <w:lang w:val="en-US" w:eastAsia="zh-CN"/>
        </w:rPr>
        <w:t>19</w:t>
      </w:r>
      <w:r>
        <w:rPr>
          <w:rFonts w:hint="eastAsia" w:ascii="宋体" w:hAnsi="宋体" w:cs="仿宋"/>
          <w:color w:val="000000" w:themeColor="text1"/>
          <w:kern w:val="0"/>
          <w:szCs w:val="21"/>
        </w:rPr>
        <w:t>日</w:t>
      </w:r>
      <w:r>
        <w:rPr>
          <w:rFonts w:hint="eastAsia" w:ascii="宋体" w:hAnsi="宋体" w:cs="仿宋"/>
          <w:color w:val="C00000"/>
          <w:kern w:val="0"/>
          <w:szCs w:val="21"/>
        </w:rPr>
        <w:t xml:space="preserve"> </w:t>
      </w:r>
      <w:r>
        <w:rPr>
          <w:rFonts w:hint="eastAsia" w:ascii="宋体" w:hAnsi="宋体" w:cs="仿宋"/>
          <w:color w:val="000000" w:themeColor="text1"/>
          <w:kern w:val="0"/>
          <w:szCs w:val="21"/>
        </w:rPr>
        <w:t xml:space="preserve">   </w:t>
      </w:r>
      <w:bookmarkEnd w:id="5"/>
    </w:p>
    <w:p w14:paraId="79881563">
      <w:pPr>
        <w:spacing w:line="360" w:lineRule="auto"/>
        <w:rPr>
          <w:rFonts w:ascii="宋体" w:hAnsi="宋体"/>
          <w:b/>
          <w:color w:val="000000" w:themeColor="text1"/>
          <w:szCs w:val="21"/>
        </w:rPr>
      </w:pPr>
    </w:p>
    <w:p w14:paraId="371953D6">
      <w:pPr>
        <w:spacing w:line="360" w:lineRule="auto"/>
        <w:rPr>
          <w:rFonts w:ascii="宋体" w:hAnsi="宋体"/>
          <w:b/>
          <w:color w:val="000000" w:themeColor="text1"/>
          <w:szCs w:val="21"/>
        </w:rPr>
      </w:pPr>
    </w:p>
    <w:p w14:paraId="6DD28147">
      <w:pPr>
        <w:pStyle w:val="2"/>
        <w:spacing w:before="0" w:after="0" w:line="360" w:lineRule="auto"/>
        <w:jc w:val="center"/>
        <w:rPr>
          <w:color w:val="000000" w:themeColor="text1"/>
          <w:sz w:val="36"/>
          <w:szCs w:val="36"/>
        </w:rPr>
      </w:pPr>
      <w:r>
        <w:rPr>
          <w:color w:val="000000" w:themeColor="text1"/>
          <w:sz w:val="36"/>
          <w:szCs w:val="36"/>
        </w:rPr>
        <w:br w:type="page"/>
      </w:r>
      <w:bookmarkStart w:id="10" w:name="_Toc168582597"/>
      <w:bookmarkStart w:id="11" w:name="_Toc132309521"/>
      <w:r>
        <w:rPr>
          <w:rFonts w:hint="eastAsia"/>
          <w:color w:val="000000" w:themeColor="text1"/>
          <w:sz w:val="36"/>
          <w:szCs w:val="36"/>
        </w:rPr>
        <w:t>第二章  响应须知</w:t>
      </w:r>
      <w:bookmarkEnd w:id="10"/>
      <w:bookmarkEnd w:id="11"/>
    </w:p>
    <w:p w14:paraId="38836837">
      <w:pPr>
        <w:spacing w:line="360" w:lineRule="auto"/>
        <w:jc w:val="center"/>
        <w:rPr>
          <w:rFonts w:ascii="宋体" w:hAnsi="宋体"/>
          <w:b/>
          <w:color w:val="000000" w:themeColor="text1"/>
          <w:sz w:val="36"/>
          <w:szCs w:val="36"/>
        </w:rPr>
      </w:pPr>
    </w:p>
    <w:p w14:paraId="71AC4CD0">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181E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793775D">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4A615454">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1275B4FE">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5B1C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9" w:type="dxa"/>
            <w:vAlign w:val="center"/>
          </w:tcPr>
          <w:p w14:paraId="184BD76A">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5A7F737A">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30280669">
            <w:pPr>
              <w:pStyle w:val="19"/>
              <w:spacing w:line="360" w:lineRule="auto"/>
              <w:ind w:firstLine="0" w:firstLineChars="0"/>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扬州市第三人民医院脂阿拉伯甘露聚糖检测外送服务采购项目</w:t>
            </w:r>
          </w:p>
        </w:tc>
      </w:tr>
      <w:tr w14:paraId="5DCA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F404BE0">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11A1DAD6">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169DD998">
            <w:pPr>
              <w:topLinePunct/>
              <w:jc w:val="center"/>
              <w:rPr>
                <w:rFonts w:ascii="宋体" w:hAnsi="宋体"/>
                <w:b/>
                <w:color w:val="000000" w:themeColor="text1"/>
                <w:szCs w:val="21"/>
              </w:rPr>
            </w:pPr>
            <w:r>
              <w:rPr>
                <w:rFonts w:ascii="宋体" w:hAnsi="宋体"/>
                <w:color w:val="000000" w:themeColor="text1"/>
                <w:szCs w:val="21"/>
              </w:rPr>
              <w:t>YZSY-YLQXK-</w:t>
            </w:r>
            <w:r>
              <w:rPr>
                <w:rFonts w:hint="eastAsia" w:ascii="宋体" w:hAnsi="宋体"/>
                <w:color w:val="000000" w:themeColor="text1"/>
                <w:szCs w:val="21"/>
              </w:rPr>
              <w:t>2025-035</w:t>
            </w:r>
          </w:p>
        </w:tc>
      </w:tr>
      <w:tr w14:paraId="181F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070DDA5">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515C1700">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58F1637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4602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F19150">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314F399B">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439A3A58">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1E909858">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（2）法人代表（或授权委托人）身份证原件</w:t>
            </w:r>
            <w:r>
              <w:rPr>
                <w:rFonts w:hint="eastAsia" w:ascii="宋体" w:hAnsi="宋体"/>
                <w:bCs/>
                <w:iCs/>
                <w:color w:val="000000" w:themeColor="text1"/>
                <w:szCs w:val="21"/>
              </w:rPr>
              <w:t>；（3）响应文件标注页码并胶装。</w:t>
            </w:r>
          </w:p>
        </w:tc>
      </w:tr>
      <w:tr w14:paraId="4F1B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9BB6874">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6444D72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2CEE3F26">
            <w:pP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47B281F3">
      <w:pPr>
        <w:spacing w:line="360" w:lineRule="auto"/>
        <w:jc w:val="center"/>
        <w:rPr>
          <w:rFonts w:ascii="宋体" w:hAnsi="宋体"/>
          <w:color w:val="000000" w:themeColor="text1"/>
          <w:szCs w:val="21"/>
        </w:rPr>
      </w:pPr>
    </w:p>
    <w:p w14:paraId="20FA6F6B">
      <w:pPr>
        <w:pStyle w:val="3"/>
        <w:spacing w:before="0" w:after="0" w:line="360" w:lineRule="auto"/>
        <w:ind w:firstLine="482" w:firstLineChars="200"/>
        <w:rPr>
          <w:rFonts w:ascii="宋体" w:hAnsi="宋体" w:eastAsia="宋体"/>
          <w:color w:val="000000" w:themeColor="text1"/>
          <w:sz w:val="24"/>
          <w:szCs w:val="24"/>
        </w:rPr>
      </w:pPr>
      <w:bookmarkStart w:id="12" w:name="_Toc132309522"/>
      <w:bookmarkStart w:id="13" w:name="_Toc168582598"/>
      <w:r>
        <w:rPr>
          <w:rFonts w:hint="eastAsia" w:ascii="宋体" w:hAnsi="宋体" w:eastAsia="宋体"/>
          <w:color w:val="000000" w:themeColor="text1"/>
          <w:sz w:val="24"/>
          <w:szCs w:val="24"/>
        </w:rPr>
        <w:t>一、总 则</w:t>
      </w:r>
      <w:bookmarkEnd w:id="12"/>
      <w:bookmarkEnd w:id="13"/>
    </w:p>
    <w:p w14:paraId="760FEAF2">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742DDFDD">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257AE2A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6FC453F0">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8CC56ED">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064095BC">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044A3BB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1676739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2C65D6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10AA11C7">
      <w:pPr>
        <w:pStyle w:val="3"/>
        <w:spacing w:before="0" w:after="0" w:line="360" w:lineRule="auto"/>
        <w:ind w:firstLine="482" w:firstLineChars="200"/>
        <w:rPr>
          <w:rFonts w:ascii="宋体" w:hAnsi="宋体" w:eastAsia="宋体"/>
          <w:color w:val="000000" w:themeColor="text1"/>
          <w:sz w:val="24"/>
          <w:szCs w:val="24"/>
        </w:rPr>
      </w:pPr>
      <w:bookmarkStart w:id="14" w:name="_Toc168582599"/>
      <w:bookmarkStart w:id="15" w:name="_Toc132309523"/>
      <w:r>
        <w:rPr>
          <w:rFonts w:hint="eastAsia" w:ascii="宋体" w:hAnsi="宋体" w:eastAsia="宋体"/>
          <w:color w:val="000000" w:themeColor="text1"/>
          <w:sz w:val="24"/>
          <w:szCs w:val="24"/>
        </w:rPr>
        <w:t>二、招标文件</w:t>
      </w:r>
      <w:bookmarkEnd w:id="14"/>
      <w:bookmarkEnd w:id="15"/>
    </w:p>
    <w:p w14:paraId="3260AD6B">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3E3E097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6206C2B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2CAFE485">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6D4534BA">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679C4E91">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40B33372">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5B955EA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6F625A36">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3526E1A4">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B24CC1B">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2196F7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5260A72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1B7249A4">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1615DF81">
      <w:pPr>
        <w:pStyle w:val="3"/>
        <w:spacing w:before="0" w:after="0" w:line="360" w:lineRule="auto"/>
        <w:ind w:firstLine="482" w:firstLineChars="200"/>
        <w:rPr>
          <w:rFonts w:ascii="宋体" w:hAnsi="宋体" w:eastAsia="宋体"/>
          <w:color w:val="000000" w:themeColor="text1"/>
          <w:sz w:val="24"/>
          <w:szCs w:val="24"/>
        </w:rPr>
      </w:pPr>
      <w:bookmarkStart w:id="16" w:name="_Toc132309524"/>
      <w:bookmarkStart w:id="17" w:name="_Toc168582600"/>
      <w:r>
        <w:rPr>
          <w:rFonts w:hint="eastAsia" w:ascii="宋体" w:hAnsi="宋体" w:eastAsia="宋体"/>
          <w:color w:val="000000" w:themeColor="text1"/>
          <w:sz w:val="24"/>
          <w:szCs w:val="24"/>
        </w:rPr>
        <w:t>三、响应文件的编制</w:t>
      </w:r>
      <w:bookmarkEnd w:id="16"/>
      <w:bookmarkEnd w:id="17"/>
    </w:p>
    <w:p w14:paraId="032D89D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5E509A1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13C42DB9">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4C11D55F">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2FEFE719">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0CFC0BEC">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2E86F95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5C360972">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6D6850E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62DE8230">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E377FDF">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7B5D48C0">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17DFEF">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0EF29B1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19B52F0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1AF7926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0CC5AC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4EB8799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F572A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响应人需按上述响应文件构成装订成册，并按招标文件中提供的响应文件格式填写响应函、授权委托书、报价一览表等材料。（响应文件格式参考第六章）</w:t>
      </w:r>
    </w:p>
    <w:p w14:paraId="1EFEED0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69F99AC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49FB461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6F31CB3C">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7590BAE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33D1BB03">
      <w:pPr>
        <w:pStyle w:val="3"/>
        <w:spacing w:before="0" w:after="0" w:line="360" w:lineRule="auto"/>
        <w:ind w:firstLine="482" w:firstLineChars="200"/>
        <w:rPr>
          <w:rFonts w:ascii="宋体" w:hAnsi="宋体"/>
          <w:color w:val="000000" w:themeColor="text1"/>
          <w:szCs w:val="21"/>
        </w:rPr>
      </w:pPr>
      <w:bookmarkStart w:id="18" w:name="_Toc132309525"/>
      <w:bookmarkStart w:id="19" w:name="_Toc168582601"/>
      <w:r>
        <w:rPr>
          <w:rFonts w:hint="eastAsia" w:ascii="宋体" w:hAnsi="宋体" w:eastAsia="宋体"/>
          <w:color w:val="000000" w:themeColor="text1"/>
          <w:sz w:val="24"/>
          <w:szCs w:val="24"/>
        </w:rPr>
        <w:t>四、响应文件的递交</w:t>
      </w:r>
      <w:bookmarkEnd w:id="18"/>
      <w:bookmarkEnd w:id="19"/>
    </w:p>
    <w:p w14:paraId="398340D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5072C1E4">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4BD3B4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7E8AA4AC">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763DE1A">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38051CEC">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674837EE">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084353EA">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4B184182">
      <w:pPr>
        <w:spacing w:line="360" w:lineRule="auto"/>
        <w:ind w:firstLine="211" w:firstLineChars="100"/>
        <w:rPr>
          <w:rFonts w:ascii="宋体" w:hAnsi="宋体"/>
          <w:b/>
          <w:bCs/>
          <w:color w:val="000000" w:themeColor="text1"/>
          <w:szCs w:val="21"/>
        </w:rPr>
      </w:pPr>
      <w:bookmarkStart w:id="20" w:name="_Toc213839733"/>
      <w:r>
        <w:rPr>
          <w:rFonts w:hint="eastAsia" w:ascii="宋体" w:hAnsi="宋体"/>
          <w:b/>
          <w:bCs/>
          <w:color w:val="000000" w:themeColor="text1"/>
          <w:szCs w:val="21"/>
        </w:rPr>
        <w:t>（十五）响应文件的修改</w:t>
      </w:r>
      <w:bookmarkEnd w:id="20"/>
      <w:r>
        <w:rPr>
          <w:rFonts w:hint="eastAsia" w:ascii="宋体" w:hAnsi="宋体"/>
          <w:b/>
          <w:bCs/>
          <w:color w:val="000000" w:themeColor="text1"/>
          <w:szCs w:val="21"/>
        </w:rPr>
        <w:t>和撤回</w:t>
      </w:r>
    </w:p>
    <w:p w14:paraId="5294FA1E">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1" w:name="_Toc213839734"/>
    </w:p>
    <w:p w14:paraId="1AD56F9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6298A1A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1"/>
    </w:p>
    <w:p w14:paraId="01EDAAA3">
      <w:pPr>
        <w:pStyle w:val="3"/>
        <w:spacing w:before="0" w:after="0" w:line="360" w:lineRule="auto"/>
        <w:ind w:firstLine="482" w:firstLineChars="200"/>
        <w:rPr>
          <w:rFonts w:ascii="宋体" w:hAnsi="宋体" w:eastAsia="宋体"/>
          <w:color w:val="000000" w:themeColor="text1"/>
          <w:sz w:val="24"/>
          <w:szCs w:val="24"/>
        </w:rPr>
      </w:pPr>
      <w:bookmarkStart w:id="22" w:name="_Toc132309526"/>
      <w:bookmarkStart w:id="23" w:name="_Toc168582602"/>
      <w:r>
        <w:rPr>
          <w:rFonts w:hint="eastAsia" w:ascii="宋体" w:hAnsi="宋体" w:eastAsia="宋体"/>
          <w:color w:val="000000" w:themeColor="text1"/>
          <w:sz w:val="24"/>
          <w:szCs w:val="24"/>
        </w:rPr>
        <w:t>五、其他条款</w:t>
      </w:r>
      <w:bookmarkEnd w:id="22"/>
      <w:bookmarkEnd w:id="23"/>
    </w:p>
    <w:p w14:paraId="04B8645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455F30F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0F80F5B4">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570AD622">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7BC02ACA">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EEC509A">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79C8C365">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2A7C735D">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193B9EB0">
      <w:pPr>
        <w:pStyle w:val="159"/>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E9B681C">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1EA602F6">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2DFB10B">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4FB28A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1200B9F0">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74E0D8CA">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4F834C0">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2CD6EE0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16DADD81">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6C07630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1B0E043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CE2072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35D7F9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659D2F0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73C8E21A">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374567AA">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703730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0A38872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0AD2AB8C">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5AEC18FA">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55902BC0">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4DEB85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24CA14E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0CFE086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5068B920">
      <w:pPr>
        <w:pStyle w:val="3"/>
        <w:spacing w:before="0" w:after="0" w:line="360" w:lineRule="auto"/>
        <w:ind w:firstLine="482" w:firstLineChars="200"/>
        <w:rPr>
          <w:rFonts w:ascii="宋体" w:hAnsi="宋体" w:eastAsia="宋体"/>
          <w:color w:val="000000" w:themeColor="text1"/>
          <w:sz w:val="24"/>
          <w:szCs w:val="24"/>
        </w:rPr>
      </w:pPr>
      <w:bookmarkStart w:id="24" w:name="_Toc168582603"/>
      <w:bookmarkStart w:id="25" w:name="_Toc132309527"/>
      <w:r>
        <w:rPr>
          <w:rFonts w:hint="eastAsia" w:ascii="宋体" w:hAnsi="宋体" w:eastAsia="宋体"/>
          <w:color w:val="000000" w:themeColor="text1"/>
          <w:sz w:val="24"/>
          <w:szCs w:val="24"/>
        </w:rPr>
        <w:t>六、评审程序</w:t>
      </w:r>
      <w:bookmarkEnd w:id="24"/>
      <w:bookmarkEnd w:id="25"/>
    </w:p>
    <w:p w14:paraId="3CAC581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113EA49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6ED28AD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01B61FE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6A389A9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4469E37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4675EA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231F9C">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384CAFEF">
      <w:pPr>
        <w:spacing w:line="360" w:lineRule="auto"/>
        <w:ind w:firstLine="420" w:firstLineChars="200"/>
        <w:rPr>
          <w:rFonts w:ascii="宋体" w:hAnsi="宋体"/>
          <w:color w:val="000000" w:themeColor="text1"/>
          <w:szCs w:val="21"/>
        </w:rPr>
      </w:pPr>
      <w:bookmarkStart w:id="26"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6"/>
    </w:p>
    <w:p w14:paraId="290EA89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4A1720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6DF3782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62ACB8B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02AE35D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462E19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7" w:name="EB1499356fad43416eb16398733accabf7"/>
      <w:r>
        <w:rPr>
          <w:rFonts w:hint="eastAsia" w:ascii="宋体" w:hAnsi="宋体"/>
          <w:color w:val="000000" w:themeColor="text1"/>
          <w:szCs w:val="21"/>
        </w:rPr>
        <w:t>所谓重大偏离是指响应文件中所述质量、技术、服务等明显不能满足招标文件要求。</w:t>
      </w:r>
      <w:bookmarkEnd w:id="27"/>
      <w:r>
        <w:rPr>
          <w:rFonts w:hint="eastAsia" w:ascii="宋体" w:hAnsi="宋体"/>
          <w:color w:val="000000" w:themeColor="text1"/>
          <w:szCs w:val="21"/>
        </w:rPr>
        <w:t>重大偏离的认定须经评审委员会三分之二以上同意。</w:t>
      </w:r>
    </w:p>
    <w:p w14:paraId="564C550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7DA8E14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5A5875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42D1892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3DF587C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7F74976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2C22AC6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365BBED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71C8C58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3、比较。评审委员会将按招标文件中规定的评审方法和标准，对符合性检查合格的响应文件进行商务和技术评比。</w:t>
      </w:r>
    </w:p>
    <w:p w14:paraId="0E8EB9D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4、推荐中标候选人。评审委员会按照招标文件中规定的评审方法和标准推荐中标候选人。</w:t>
      </w:r>
    </w:p>
    <w:p w14:paraId="1E5A40A6">
      <w:pPr>
        <w:pStyle w:val="3"/>
        <w:spacing w:before="0" w:after="0" w:line="360" w:lineRule="auto"/>
        <w:ind w:firstLine="482" w:firstLineChars="200"/>
        <w:rPr>
          <w:rFonts w:ascii="宋体" w:hAnsi="宋体" w:eastAsia="宋体"/>
          <w:color w:val="000000" w:themeColor="text1"/>
          <w:sz w:val="24"/>
          <w:szCs w:val="24"/>
        </w:rPr>
      </w:pPr>
      <w:bookmarkStart w:id="28" w:name="_Toc168582604"/>
      <w:bookmarkStart w:id="29" w:name="_Toc132309528"/>
      <w:r>
        <w:rPr>
          <w:rFonts w:hint="eastAsia" w:ascii="宋体" w:hAnsi="宋体" w:eastAsia="宋体"/>
          <w:color w:val="000000" w:themeColor="text1"/>
          <w:sz w:val="24"/>
          <w:szCs w:val="24"/>
        </w:rPr>
        <w:t>七、中标及合同签订</w:t>
      </w:r>
      <w:bookmarkEnd w:id="28"/>
      <w:bookmarkEnd w:id="29"/>
    </w:p>
    <w:p w14:paraId="34DFECA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204781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4B9D369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69691D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5816011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4280FA6">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51B9D5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57FC0F54">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362A2E2E">
      <w:pPr>
        <w:pStyle w:val="3"/>
        <w:spacing w:before="0" w:after="0" w:line="360" w:lineRule="auto"/>
        <w:ind w:firstLine="482" w:firstLineChars="200"/>
        <w:rPr>
          <w:rFonts w:ascii="宋体" w:hAnsi="宋体" w:eastAsia="宋体"/>
          <w:color w:val="000000" w:themeColor="text1"/>
          <w:sz w:val="24"/>
          <w:szCs w:val="24"/>
        </w:rPr>
      </w:pPr>
      <w:bookmarkStart w:id="30" w:name="_Toc132309529"/>
      <w:bookmarkStart w:id="31" w:name="_Toc168582605"/>
      <w:r>
        <w:rPr>
          <w:rFonts w:hint="eastAsia" w:ascii="宋体" w:hAnsi="宋体" w:eastAsia="宋体"/>
          <w:color w:val="000000" w:themeColor="text1"/>
          <w:sz w:val="24"/>
          <w:szCs w:val="24"/>
        </w:rPr>
        <w:t>八、考核及付款</w:t>
      </w:r>
      <w:bookmarkEnd w:id="30"/>
      <w:bookmarkEnd w:id="31"/>
    </w:p>
    <w:p w14:paraId="3D40589E">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D7B499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6B3E3B34">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67C434FB">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116EDD56">
      <w:pPr>
        <w:pStyle w:val="2"/>
        <w:spacing w:before="0" w:after="0" w:line="360" w:lineRule="auto"/>
        <w:jc w:val="center"/>
        <w:rPr>
          <w:color w:val="000000" w:themeColor="text1"/>
        </w:rPr>
        <w:sectPr>
          <w:footerReference r:id="rId4" w:type="default"/>
          <w:pgSz w:w="11906" w:h="16838"/>
          <w:pgMar w:top="1134" w:right="1418" w:bottom="1134" w:left="1418" w:header="568" w:footer="380" w:gutter="0"/>
          <w:pgNumType w:start="1"/>
          <w:cols w:space="0" w:num="1"/>
          <w:docGrid w:linePitch="312" w:charSpace="0"/>
        </w:sectPr>
      </w:pPr>
      <w:bookmarkStart w:id="32" w:name="_Toc521602502"/>
    </w:p>
    <w:p w14:paraId="1D999090">
      <w:pPr>
        <w:pStyle w:val="2"/>
        <w:spacing w:before="0" w:after="0" w:line="360" w:lineRule="auto"/>
        <w:jc w:val="center"/>
        <w:rPr>
          <w:color w:val="000000" w:themeColor="text1"/>
          <w:sz w:val="36"/>
          <w:szCs w:val="36"/>
        </w:rPr>
      </w:pPr>
      <w:bookmarkStart w:id="33" w:name="_Toc168582606"/>
      <w:bookmarkStart w:id="34" w:name="_Toc132309530"/>
      <w:r>
        <w:rPr>
          <w:rFonts w:hint="eastAsia"/>
          <w:color w:val="000000" w:themeColor="text1"/>
          <w:sz w:val="36"/>
          <w:szCs w:val="36"/>
        </w:rPr>
        <w:t xml:space="preserve">第三章  </w:t>
      </w:r>
      <w:bookmarkEnd w:id="32"/>
      <w:r>
        <w:rPr>
          <w:rFonts w:hint="eastAsia"/>
          <w:color w:val="000000" w:themeColor="text1"/>
          <w:sz w:val="36"/>
          <w:szCs w:val="36"/>
        </w:rPr>
        <w:t>评审办法</w:t>
      </w:r>
      <w:bookmarkEnd w:id="33"/>
      <w:bookmarkEnd w:id="34"/>
    </w:p>
    <w:p w14:paraId="1FF0F19C">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2FD2B805">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0AF00A83">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3"/>
        <w:gridCol w:w="4022"/>
      </w:tblGrid>
      <w:tr w14:paraId="70A41E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2B265688">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1561BD31">
            <w:pPr>
              <w:jc w:val="center"/>
              <w:rPr>
                <w:rFonts w:ascii="宋体" w:hAnsi="宋体"/>
                <w:color w:val="000000" w:themeColor="text1"/>
                <w:szCs w:val="21"/>
              </w:rPr>
            </w:pPr>
            <w:r>
              <w:rPr>
                <w:rFonts w:ascii="宋体" w:hAnsi="宋体"/>
                <w:color w:val="000000" w:themeColor="text1"/>
                <w:szCs w:val="21"/>
              </w:rPr>
              <w:t>评审标准</w:t>
            </w:r>
          </w:p>
        </w:tc>
      </w:tr>
      <w:tr w14:paraId="24F39B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F6C5406">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53D1867F">
            <w:pPr>
              <w:jc w:val="center"/>
              <w:rPr>
                <w:rFonts w:ascii="宋体" w:hAnsi="宋体"/>
                <w:color w:val="000000" w:themeColor="text1"/>
                <w:szCs w:val="21"/>
              </w:rPr>
            </w:pPr>
            <w:r>
              <w:rPr>
                <w:rFonts w:ascii="宋体" w:hAnsi="宋体"/>
                <w:color w:val="000000" w:themeColor="text1"/>
                <w:szCs w:val="21"/>
              </w:rPr>
              <w:t>符合招标文件要求</w:t>
            </w:r>
          </w:p>
        </w:tc>
      </w:tr>
      <w:tr w14:paraId="4033A1B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2D4C1284">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433A685A">
            <w:pPr>
              <w:jc w:val="center"/>
              <w:rPr>
                <w:rFonts w:ascii="宋体" w:hAnsi="宋体"/>
                <w:color w:val="000000" w:themeColor="text1"/>
                <w:szCs w:val="21"/>
              </w:rPr>
            </w:pPr>
            <w:r>
              <w:rPr>
                <w:rFonts w:ascii="宋体" w:hAnsi="宋体"/>
                <w:color w:val="000000" w:themeColor="text1"/>
                <w:szCs w:val="21"/>
              </w:rPr>
              <w:t>符合招标文件要求</w:t>
            </w:r>
          </w:p>
        </w:tc>
      </w:tr>
      <w:tr w14:paraId="1D17B3A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DC253B">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DDB20E3">
            <w:pPr>
              <w:jc w:val="center"/>
              <w:rPr>
                <w:rFonts w:ascii="宋体" w:hAnsi="宋体"/>
                <w:color w:val="000000" w:themeColor="text1"/>
                <w:szCs w:val="21"/>
              </w:rPr>
            </w:pPr>
            <w:r>
              <w:rPr>
                <w:rFonts w:ascii="宋体" w:hAnsi="宋体"/>
                <w:color w:val="000000" w:themeColor="text1"/>
                <w:szCs w:val="21"/>
              </w:rPr>
              <w:t>合法有效</w:t>
            </w:r>
          </w:p>
        </w:tc>
      </w:tr>
      <w:tr w14:paraId="3FFA202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D7E0562">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3E0FC7CF">
            <w:pPr>
              <w:jc w:val="center"/>
              <w:rPr>
                <w:rFonts w:ascii="宋体" w:hAnsi="宋体"/>
                <w:color w:val="000000" w:themeColor="text1"/>
                <w:szCs w:val="21"/>
              </w:rPr>
            </w:pPr>
            <w:r>
              <w:rPr>
                <w:rFonts w:ascii="宋体" w:hAnsi="宋体"/>
                <w:color w:val="000000" w:themeColor="text1"/>
                <w:szCs w:val="21"/>
              </w:rPr>
              <w:t>符合招标文件要求</w:t>
            </w:r>
          </w:p>
        </w:tc>
      </w:tr>
      <w:tr w14:paraId="7192368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D13903F">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60DDD024">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4B003E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B239496">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5EFD2B7C">
            <w:pPr>
              <w:jc w:val="center"/>
              <w:rPr>
                <w:rFonts w:ascii="宋体" w:hAnsi="宋体"/>
                <w:color w:val="000000" w:themeColor="text1"/>
                <w:szCs w:val="21"/>
              </w:rPr>
            </w:pPr>
            <w:r>
              <w:rPr>
                <w:rFonts w:ascii="宋体" w:hAnsi="宋体"/>
                <w:color w:val="000000" w:themeColor="text1"/>
                <w:szCs w:val="21"/>
              </w:rPr>
              <w:t>本项目不接受联合体响应</w:t>
            </w:r>
          </w:p>
        </w:tc>
      </w:tr>
      <w:tr w14:paraId="57C663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9FDD31E">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065E0EEB">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0FC11E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9007F38">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660AE7A8">
            <w:pPr>
              <w:jc w:val="center"/>
              <w:rPr>
                <w:rFonts w:ascii="宋体" w:hAnsi="宋体"/>
                <w:color w:val="000000" w:themeColor="text1"/>
                <w:szCs w:val="21"/>
              </w:rPr>
            </w:pPr>
            <w:r>
              <w:rPr>
                <w:rFonts w:ascii="宋体" w:hAnsi="宋体"/>
                <w:color w:val="000000" w:themeColor="text1"/>
                <w:szCs w:val="21"/>
              </w:rPr>
              <w:t>符合招标文件要求</w:t>
            </w:r>
          </w:p>
        </w:tc>
      </w:tr>
      <w:tr w14:paraId="6D8F770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C49525">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2912EAAE">
            <w:pPr>
              <w:jc w:val="center"/>
              <w:rPr>
                <w:rFonts w:ascii="宋体" w:hAnsi="宋体"/>
                <w:color w:val="000000" w:themeColor="text1"/>
                <w:szCs w:val="21"/>
              </w:rPr>
            </w:pPr>
            <w:r>
              <w:rPr>
                <w:rFonts w:ascii="宋体" w:hAnsi="宋体"/>
                <w:color w:val="000000" w:themeColor="text1"/>
                <w:szCs w:val="21"/>
              </w:rPr>
              <w:t>符合招标文件要求</w:t>
            </w:r>
          </w:p>
        </w:tc>
      </w:tr>
      <w:tr w14:paraId="52B597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72F8AE9">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1F119C67">
            <w:pPr>
              <w:jc w:val="center"/>
              <w:rPr>
                <w:rFonts w:ascii="宋体" w:hAnsi="宋体"/>
                <w:color w:val="000000" w:themeColor="text1"/>
                <w:szCs w:val="21"/>
              </w:rPr>
            </w:pPr>
            <w:r>
              <w:rPr>
                <w:rFonts w:ascii="宋体" w:hAnsi="宋体"/>
                <w:color w:val="000000" w:themeColor="text1"/>
                <w:szCs w:val="21"/>
              </w:rPr>
              <w:t>符合招标文件要求</w:t>
            </w:r>
          </w:p>
        </w:tc>
      </w:tr>
    </w:tbl>
    <w:p w14:paraId="1694D20C">
      <w:pPr>
        <w:spacing w:line="360" w:lineRule="auto"/>
        <w:jc w:val="left"/>
        <w:rPr>
          <w:rFonts w:ascii="宋体" w:hAnsi="宋体"/>
          <w:b/>
          <w:bCs/>
          <w:color w:val="000000" w:themeColor="text1"/>
          <w:szCs w:val="21"/>
        </w:rPr>
      </w:pPr>
    </w:p>
    <w:p w14:paraId="1F9B48A1">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3A1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66A22475">
            <w:pPr>
              <w:spacing w:line="360" w:lineRule="auto"/>
              <w:jc w:val="center"/>
              <w:rPr>
                <w:rFonts w:asciiTheme="minorEastAsia" w:hAnsiTheme="minorEastAsia" w:eastAsiaTheme="minorEastAsia"/>
                <w:b/>
                <w:color w:val="000000" w:themeColor="text1"/>
                <w:szCs w:val="21"/>
              </w:rPr>
            </w:pPr>
            <w:bookmarkStart w:id="35" w:name="OLE_LINK19"/>
            <w:r>
              <w:rPr>
                <w:rFonts w:hint="eastAsia" w:asciiTheme="minorEastAsia" w:hAnsiTheme="minorEastAsia" w:eastAsiaTheme="minorEastAsia"/>
                <w:b/>
                <w:color w:val="000000" w:themeColor="text1"/>
                <w:szCs w:val="21"/>
              </w:rPr>
              <w:t>序号</w:t>
            </w:r>
          </w:p>
        </w:tc>
        <w:tc>
          <w:tcPr>
            <w:tcW w:w="1256" w:type="dxa"/>
            <w:vAlign w:val="center"/>
          </w:tcPr>
          <w:p w14:paraId="09267EED">
            <w:pPr>
              <w:spacing w:line="360"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评审内容</w:t>
            </w:r>
          </w:p>
        </w:tc>
        <w:tc>
          <w:tcPr>
            <w:tcW w:w="878" w:type="dxa"/>
            <w:vAlign w:val="center"/>
          </w:tcPr>
          <w:p w14:paraId="1021A5A4">
            <w:pPr>
              <w:spacing w:line="360"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分值</w:t>
            </w:r>
          </w:p>
          <w:p w14:paraId="2EFF7942">
            <w:pPr>
              <w:spacing w:line="360"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（分）</w:t>
            </w:r>
          </w:p>
        </w:tc>
        <w:tc>
          <w:tcPr>
            <w:tcW w:w="6654" w:type="dxa"/>
            <w:vAlign w:val="center"/>
          </w:tcPr>
          <w:p w14:paraId="17FA08AA">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评分档次及依据</w:t>
            </w:r>
          </w:p>
        </w:tc>
      </w:tr>
      <w:tr w14:paraId="55FA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32510B2C">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256" w:type="dxa"/>
            <w:vAlign w:val="center"/>
          </w:tcPr>
          <w:p w14:paraId="342E6C02">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投标报价</w:t>
            </w:r>
          </w:p>
        </w:tc>
        <w:tc>
          <w:tcPr>
            <w:tcW w:w="878" w:type="dxa"/>
            <w:vAlign w:val="center"/>
          </w:tcPr>
          <w:p w14:paraId="13DCE44E">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20</w:t>
            </w:r>
          </w:p>
        </w:tc>
        <w:tc>
          <w:tcPr>
            <w:tcW w:w="6654" w:type="dxa"/>
            <w:vAlign w:val="center"/>
          </w:tcPr>
          <w:p w14:paraId="3423B6C1">
            <w:pPr>
              <w:spacing w:line="360" w:lineRule="auto"/>
              <w:rPr>
                <w:rFonts w:asciiTheme="minorEastAsia" w:hAnsiTheme="minorEastAsia" w:eastAsiaTheme="minorEastAsia"/>
                <w:szCs w:val="21"/>
              </w:rPr>
            </w:pPr>
            <w:r>
              <w:rPr>
                <w:rFonts w:hint="eastAsia" w:cs="宋体" w:asciiTheme="minorEastAsia" w:hAnsiTheme="minorEastAsia" w:eastAsiaTheme="minorEastAsia"/>
                <w:color w:val="000000" w:themeColor="text1"/>
                <w:szCs w:val="21"/>
              </w:rPr>
              <w:t>以满足招标文件要求的最低报价为评标基准价，得20分，其他报价得分=（基准价/报价）×20×100%（小数保留2位）。</w:t>
            </w:r>
          </w:p>
        </w:tc>
      </w:tr>
      <w:tr w14:paraId="1B5D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48553BD2">
            <w:pPr>
              <w:spacing w:line="360" w:lineRule="auto"/>
              <w:jc w:val="center"/>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2</w:t>
            </w:r>
          </w:p>
        </w:tc>
        <w:tc>
          <w:tcPr>
            <w:tcW w:w="1256" w:type="dxa"/>
            <w:vAlign w:val="center"/>
          </w:tcPr>
          <w:p w14:paraId="4E5A4CA6">
            <w:pPr>
              <w:spacing w:line="360" w:lineRule="auto"/>
              <w:jc w:val="center"/>
              <w:rPr>
                <w:rFonts w:asciiTheme="minorEastAsia" w:hAnsiTheme="minorEastAsia" w:eastAsiaTheme="minorEastAsia"/>
                <w:bCs/>
                <w:snapToGrid w:val="0"/>
                <w:color w:val="000000" w:themeColor="text1"/>
                <w:kern w:val="0"/>
                <w:szCs w:val="21"/>
              </w:rPr>
            </w:pPr>
            <w:r>
              <w:rPr>
                <w:rFonts w:hint="eastAsia" w:asciiTheme="minorEastAsia" w:hAnsiTheme="minorEastAsia" w:eastAsiaTheme="minorEastAsia"/>
                <w:bCs/>
                <w:snapToGrid w:val="0"/>
                <w:color w:val="000000" w:themeColor="text1"/>
                <w:kern w:val="0"/>
                <w:szCs w:val="21"/>
              </w:rPr>
              <w:t>技术要求</w:t>
            </w:r>
          </w:p>
        </w:tc>
        <w:tc>
          <w:tcPr>
            <w:tcW w:w="878" w:type="dxa"/>
            <w:vAlign w:val="center"/>
          </w:tcPr>
          <w:p w14:paraId="27EB3B04">
            <w:pPr>
              <w:spacing w:line="360"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r>
              <w:rPr>
                <w:rFonts w:cs="宋体" w:asciiTheme="minorEastAsia" w:hAnsiTheme="minorEastAsia" w:eastAsiaTheme="minorEastAsia"/>
                <w:color w:val="000000" w:themeColor="text1"/>
                <w:szCs w:val="21"/>
              </w:rPr>
              <w:t>0</w:t>
            </w:r>
          </w:p>
        </w:tc>
        <w:tc>
          <w:tcPr>
            <w:tcW w:w="6654" w:type="dxa"/>
            <w:vAlign w:val="center"/>
          </w:tcPr>
          <w:p w14:paraId="52559154">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根据采购需求及响应情况打分：完全满足招标文件技术参数要求的得2</w:t>
            </w:r>
            <w:r>
              <w:rPr>
                <w:rFonts w:asciiTheme="minorEastAsia" w:hAnsiTheme="minorEastAsia" w:eastAsiaTheme="minorEastAsia"/>
                <w:color w:val="000000" w:themeColor="text1"/>
                <w:szCs w:val="21"/>
              </w:rPr>
              <w:t>0</w:t>
            </w:r>
            <w:r>
              <w:rPr>
                <w:rFonts w:hint="eastAsia" w:asciiTheme="minorEastAsia" w:hAnsiTheme="minorEastAsia" w:eastAsiaTheme="minorEastAsia"/>
                <w:color w:val="000000" w:themeColor="text1"/>
                <w:szCs w:val="21"/>
              </w:rPr>
              <w:t>分；标 “★”号的技术指标为关键指标，有一项负偏离扣</w:t>
            </w: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分；其余为一般参数指标，有一项负偏离扣</w:t>
            </w: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分，扣完为止。</w:t>
            </w:r>
          </w:p>
          <w:p w14:paraId="1DC1C3BA">
            <w:pPr>
              <w:spacing w:line="360" w:lineRule="auto"/>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注：投标人需要按招标文件第四章的要求，在“项目偏离表”中如实详细填列所投产品的参数和项目要求，否则评委会有权做负偏离处理。</w:t>
            </w:r>
          </w:p>
        </w:tc>
      </w:tr>
      <w:tr w14:paraId="72CF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36588A00">
            <w:pPr>
              <w:spacing w:line="360" w:lineRule="auto"/>
              <w:jc w:val="center"/>
              <w:rPr>
                <w:rFonts w:asciiTheme="minorEastAsia" w:hAnsiTheme="minorEastAsia" w:eastAsiaTheme="minorEastAsia"/>
                <w:bCs/>
                <w:snapToGrid w:val="0"/>
                <w:color w:val="000000" w:themeColor="text1"/>
                <w:kern w:val="0"/>
                <w:szCs w:val="21"/>
              </w:rPr>
            </w:pPr>
            <w:r>
              <w:rPr>
                <w:rFonts w:hint="eastAsia" w:asciiTheme="minorEastAsia" w:hAnsiTheme="minorEastAsia" w:eastAsiaTheme="minorEastAsia"/>
                <w:bCs/>
                <w:snapToGrid w:val="0"/>
                <w:color w:val="000000" w:themeColor="text1"/>
                <w:kern w:val="0"/>
                <w:szCs w:val="21"/>
              </w:rPr>
              <w:t>3</w:t>
            </w:r>
          </w:p>
        </w:tc>
        <w:tc>
          <w:tcPr>
            <w:tcW w:w="1256" w:type="dxa"/>
            <w:vAlign w:val="center"/>
          </w:tcPr>
          <w:p w14:paraId="04598EBB">
            <w:pPr>
              <w:spacing w:line="360" w:lineRule="auto"/>
              <w:jc w:val="center"/>
              <w:rPr>
                <w:rFonts w:asciiTheme="minorEastAsia" w:hAnsiTheme="minorEastAsia" w:eastAsiaTheme="minorEastAsia"/>
                <w:bCs/>
                <w:snapToGrid w:val="0"/>
                <w:color w:val="000000" w:themeColor="text1"/>
                <w:kern w:val="0"/>
                <w:szCs w:val="21"/>
              </w:rPr>
            </w:pPr>
            <w:r>
              <w:rPr>
                <w:rFonts w:hint="eastAsia" w:asciiTheme="minorEastAsia" w:hAnsiTheme="minorEastAsia" w:eastAsiaTheme="minorEastAsia"/>
                <w:bCs/>
                <w:snapToGrid w:val="0"/>
                <w:color w:val="000000" w:themeColor="text1"/>
                <w:kern w:val="0"/>
                <w:szCs w:val="21"/>
              </w:rPr>
              <w:t>样本物流方案</w:t>
            </w:r>
          </w:p>
        </w:tc>
        <w:tc>
          <w:tcPr>
            <w:tcW w:w="878" w:type="dxa"/>
            <w:vAlign w:val="center"/>
          </w:tcPr>
          <w:p w14:paraId="65046718">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0</w:t>
            </w:r>
          </w:p>
        </w:tc>
        <w:tc>
          <w:tcPr>
            <w:tcW w:w="6654" w:type="dxa"/>
            <w:shd w:val="clear" w:color="auto" w:fill="auto"/>
            <w:vAlign w:val="center"/>
          </w:tcPr>
          <w:p w14:paraId="41510A8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标本的收取、物流运输、返还、生物安全及保障措施等方案（</w:t>
            </w:r>
            <w:r>
              <w:rPr>
                <w:rFonts w:asciiTheme="minorEastAsia" w:hAnsiTheme="minorEastAsia" w:eastAsiaTheme="minorEastAsia"/>
                <w:szCs w:val="21"/>
              </w:rPr>
              <w:t>10</w:t>
            </w:r>
            <w:r>
              <w:rPr>
                <w:rFonts w:hint="eastAsia" w:asciiTheme="minorEastAsia" w:hAnsiTheme="minorEastAsia" w:eastAsiaTheme="minorEastAsia"/>
                <w:szCs w:val="21"/>
              </w:rPr>
              <w:t>分）：</w:t>
            </w:r>
          </w:p>
          <w:p w14:paraId="6552640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方案科学、严密、合理，描述详细且具有针对性的得10分。</w:t>
            </w:r>
          </w:p>
          <w:p w14:paraId="41CF011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方案较科学、较严密、较合理，描述较详细且较具有针对性的得7分。</w:t>
            </w:r>
          </w:p>
          <w:p w14:paraId="1AE208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方案科学性、严密性、合理性、详细性、针对性一般的得4分。</w:t>
            </w:r>
          </w:p>
          <w:p w14:paraId="30286B3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方案具有不合理项、描述略欠缺的得1分。</w:t>
            </w:r>
          </w:p>
          <w:p w14:paraId="5222B00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其余不得分。</w:t>
            </w:r>
          </w:p>
        </w:tc>
      </w:tr>
      <w:tr w14:paraId="4B9C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653" w:type="dxa"/>
            <w:vAlign w:val="center"/>
          </w:tcPr>
          <w:p w14:paraId="327E4964">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p>
        </w:tc>
        <w:tc>
          <w:tcPr>
            <w:tcW w:w="1256" w:type="dxa"/>
            <w:vAlign w:val="center"/>
          </w:tcPr>
          <w:p w14:paraId="0D354104">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szCs w:val="21"/>
              </w:rPr>
              <w:t>检测质量</w:t>
            </w:r>
          </w:p>
        </w:tc>
        <w:tc>
          <w:tcPr>
            <w:tcW w:w="878" w:type="dxa"/>
            <w:vAlign w:val="center"/>
          </w:tcPr>
          <w:p w14:paraId="028D19E5">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0</w:t>
            </w:r>
          </w:p>
        </w:tc>
        <w:tc>
          <w:tcPr>
            <w:tcW w:w="6654" w:type="dxa"/>
            <w:shd w:val="clear" w:color="auto" w:fill="auto"/>
            <w:vAlign w:val="center"/>
          </w:tcPr>
          <w:p w14:paraId="13FBB0D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质量控制体系、</w:t>
            </w:r>
            <w:bookmarkStart w:id="36" w:name="OLE_LINK14"/>
            <w:r>
              <w:rPr>
                <w:rFonts w:hint="eastAsia" w:asciiTheme="minorEastAsia" w:hAnsiTheme="minorEastAsia" w:eastAsiaTheme="minorEastAsia"/>
                <w:szCs w:val="21"/>
              </w:rPr>
              <w:t>检测质量</w:t>
            </w:r>
            <w:bookmarkEnd w:id="36"/>
            <w:r>
              <w:rPr>
                <w:rFonts w:hint="eastAsia" w:asciiTheme="minorEastAsia" w:hAnsiTheme="minorEastAsia" w:eastAsiaTheme="minorEastAsia"/>
                <w:szCs w:val="21"/>
              </w:rPr>
              <w:t>、异常报告处理、质量保障措施等（1</w:t>
            </w:r>
            <w:r>
              <w:rPr>
                <w:rFonts w:asciiTheme="minorEastAsia" w:hAnsiTheme="minorEastAsia" w:eastAsiaTheme="minorEastAsia"/>
                <w:szCs w:val="21"/>
              </w:rPr>
              <w:t>0</w:t>
            </w:r>
            <w:r>
              <w:rPr>
                <w:rFonts w:hint="eastAsia" w:asciiTheme="minorEastAsia" w:hAnsiTheme="minorEastAsia" w:eastAsiaTheme="minorEastAsia"/>
                <w:szCs w:val="21"/>
              </w:rPr>
              <w:t>分）：</w:t>
            </w:r>
          </w:p>
          <w:p w14:paraId="1ADEE82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质量控制体系健全、检测质量很好、异常报告处理流程规范、保障措施可行性强得</w:t>
            </w:r>
            <w:r>
              <w:rPr>
                <w:rFonts w:asciiTheme="minorEastAsia" w:hAnsiTheme="minorEastAsia" w:eastAsiaTheme="minorEastAsia"/>
                <w:szCs w:val="21"/>
              </w:rPr>
              <w:t>10</w:t>
            </w:r>
            <w:r>
              <w:rPr>
                <w:rFonts w:hint="eastAsia" w:asciiTheme="minorEastAsia" w:hAnsiTheme="minorEastAsia" w:eastAsiaTheme="minorEastAsia"/>
                <w:szCs w:val="21"/>
              </w:rPr>
              <w:t>分；</w:t>
            </w:r>
          </w:p>
          <w:p w14:paraId="2607A48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质量控制体系较健全、检测质量较好、异常报告处理流程较规范、保障措施可行性较强得</w:t>
            </w:r>
            <w:r>
              <w:rPr>
                <w:rFonts w:asciiTheme="minorEastAsia" w:hAnsiTheme="minorEastAsia" w:eastAsiaTheme="minorEastAsia"/>
                <w:szCs w:val="21"/>
              </w:rPr>
              <w:t>7</w:t>
            </w:r>
            <w:r>
              <w:rPr>
                <w:rFonts w:hint="eastAsia" w:asciiTheme="minorEastAsia" w:hAnsiTheme="minorEastAsia" w:eastAsiaTheme="minorEastAsia"/>
                <w:szCs w:val="21"/>
              </w:rPr>
              <w:t>分；</w:t>
            </w:r>
          </w:p>
          <w:p w14:paraId="52060946">
            <w:pPr>
              <w:spacing w:line="360" w:lineRule="auto"/>
              <w:rPr>
                <w:rFonts w:asciiTheme="minorEastAsia" w:hAnsiTheme="minorEastAsia" w:eastAsiaTheme="minorEastAsia"/>
                <w:szCs w:val="21"/>
              </w:rPr>
            </w:pPr>
            <w:bookmarkStart w:id="37" w:name="OLE_LINK15"/>
            <w:r>
              <w:rPr>
                <w:rFonts w:hint="eastAsia" w:asciiTheme="minorEastAsia" w:hAnsiTheme="minorEastAsia" w:eastAsiaTheme="minorEastAsia"/>
                <w:szCs w:val="21"/>
              </w:rPr>
              <w:t>质量控制体系、检测质量、异常报告处理流程、保障措施</w:t>
            </w:r>
            <w:bookmarkEnd w:id="37"/>
            <w:r>
              <w:rPr>
                <w:rFonts w:hint="eastAsia" w:asciiTheme="minorEastAsia" w:hAnsiTheme="minorEastAsia" w:eastAsiaTheme="minorEastAsia"/>
                <w:szCs w:val="21"/>
              </w:rPr>
              <w:t>一般得</w:t>
            </w:r>
            <w:r>
              <w:rPr>
                <w:rFonts w:asciiTheme="minorEastAsia" w:hAnsiTheme="minorEastAsia" w:eastAsiaTheme="minorEastAsia"/>
                <w:szCs w:val="21"/>
              </w:rPr>
              <w:t>4</w:t>
            </w:r>
            <w:r>
              <w:rPr>
                <w:rFonts w:hint="eastAsia" w:asciiTheme="minorEastAsia" w:hAnsiTheme="minorEastAsia" w:eastAsiaTheme="minorEastAsia"/>
                <w:szCs w:val="21"/>
              </w:rPr>
              <w:t>分；</w:t>
            </w:r>
          </w:p>
          <w:p w14:paraId="69A646D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质量控制体系、检测质量、异常报告处理流程、保障措施具有不合理项、描述略欠缺的得1分。</w:t>
            </w:r>
          </w:p>
          <w:p w14:paraId="6FCD9F8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其余不得分。</w:t>
            </w:r>
          </w:p>
          <w:p w14:paraId="27DA388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[提供以上检测报告的复印件并加盖供应商公章]</w:t>
            </w:r>
          </w:p>
        </w:tc>
      </w:tr>
      <w:tr w14:paraId="1B24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1E8E6467">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w:t>
            </w:r>
          </w:p>
        </w:tc>
        <w:tc>
          <w:tcPr>
            <w:tcW w:w="1256" w:type="dxa"/>
            <w:vAlign w:val="center"/>
          </w:tcPr>
          <w:p w14:paraId="64210EAD">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服务方案</w:t>
            </w:r>
          </w:p>
        </w:tc>
        <w:tc>
          <w:tcPr>
            <w:tcW w:w="878" w:type="dxa"/>
            <w:vAlign w:val="center"/>
          </w:tcPr>
          <w:p w14:paraId="367E7DF5">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tc>
        <w:tc>
          <w:tcPr>
            <w:tcW w:w="6654" w:type="dxa"/>
            <w:shd w:val="clear" w:color="auto" w:fill="auto"/>
            <w:vAlign w:val="center"/>
          </w:tcPr>
          <w:p w14:paraId="4B64E3D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提供相应的支持服务方案及保障措施，包括但不限于：为科室提供专业学术指导、人员培训、协助文献检索、数据分析等方面内容（6分）：</w:t>
            </w:r>
          </w:p>
          <w:p w14:paraId="4B09121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培训服务方案规范、保障措施可行得6分；</w:t>
            </w:r>
          </w:p>
          <w:p w14:paraId="3CA3016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培训服务方案基本规范、保障措施基本可行得</w:t>
            </w:r>
            <w:r>
              <w:rPr>
                <w:rFonts w:asciiTheme="minorEastAsia" w:hAnsiTheme="minorEastAsia" w:eastAsiaTheme="minorEastAsia"/>
                <w:szCs w:val="21"/>
              </w:rPr>
              <w:t>4</w:t>
            </w:r>
            <w:r>
              <w:rPr>
                <w:rFonts w:hint="eastAsia" w:asciiTheme="minorEastAsia" w:hAnsiTheme="minorEastAsia" w:eastAsiaTheme="minorEastAsia"/>
                <w:szCs w:val="21"/>
              </w:rPr>
              <w:t>分；</w:t>
            </w:r>
          </w:p>
          <w:p w14:paraId="38789E7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培训服务方案规范性差、保障措施可行性差得</w:t>
            </w:r>
            <w:r>
              <w:rPr>
                <w:rFonts w:asciiTheme="minorEastAsia" w:hAnsiTheme="minorEastAsia" w:eastAsiaTheme="minorEastAsia"/>
                <w:szCs w:val="21"/>
              </w:rPr>
              <w:t>2</w:t>
            </w:r>
            <w:r>
              <w:rPr>
                <w:rFonts w:hint="eastAsia" w:asciiTheme="minorEastAsia" w:hAnsiTheme="minorEastAsia" w:eastAsiaTheme="minorEastAsia"/>
                <w:szCs w:val="21"/>
              </w:rPr>
              <w:t>分；</w:t>
            </w:r>
          </w:p>
          <w:p w14:paraId="1C26316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无培训服务方案及保障措施得0分。</w:t>
            </w:r>
          </w:p>
        </w:tc>
      </w:tr>
      <w:tr w14:paraId="4881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77848EF2">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tc>
        <w:tc>
          <w:tcPr>
            <w:tcW w:w="1256" w:type="dxa"/>
            <w:vAlign w:val="center"/>
          </w:tcPr>
          <w:p w14:paraId="08B4EA60">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应急处置方案</w:t>
            </w:r>
          </w:p>
        </w:tc>
        <w:tc>
          <w:tcPr>
            <w:tcW w:w="878" w:type="dxa"/>
            <w:vAlign w:val="center"/>
          </w:tcPr>
          <w:p w14:paraId="78CC3629">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tc>
        <w:tc>
          <w:tcPr>
            <w:tcW w:w="6654" w:type="dxa"/>
            <w:shd w:val="clear" w:color="auto" w:fill="auto"/>
            <w:vAlign w:val="center"/>
          </w:tcPr>
          <w:p w14:paraId="489DB09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供应商拟定在服务过程中可能涉及的突发事件应急处理预案，内容包括但不限于：实验室安全事故、生物样本丢失、仪器设备故障等突发事件的应急处理方案（6分）：</w:t>
            </w:r>
          </w:p>
          <w:p w14:paraId="157DEAE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可实施性强、贴近用户需求、安全严密、具有前瞻性，得6分；</w:t>
            </w:r>
          </w:p>
          <w:p w14:paraId="41F5F9D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可实施性一般、基本满足用户需求、安全严密一般，得4分；</w:t>
            </w:r>
          </w:p>
          <w:p w14:paraId="52A2F36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可实施性差、不满足用户需求、安全严密较差得2分；</w:t>
            </w:r>
          </w:p>
          <w:p w14:paraId="197B288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方案不合格或不提供不得分。</w:t>
            </w:r>
          </w:p>
        </w:tc>
      </w:tr>
      <w:tr w14:paraId="27B2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26EC2F3F">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w:t>
            </w:r>
          </w:p>
        </w:tc>
        <w:tc>
          <w:tcPr>
            <w:tcW w:w="1256" w:type="dxa"/>
            <w:shd w:val="clear" w:color="auto" w:fill="auto"/>
            <w:vAlign w:val="center"/>
          </w:tcPr>
          <w:p w14:paraId="194260CA">
            <w:pPr>
              <w:spacing w:line="360" w:lineRule="auto"/>
              <w:jc w:val="center"/>
              <w:rPr>
                <w:rFonts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整体方案</w:t>
            </w:r>
          </w:p>
        </w:tc>
        <w:tc>
          <w:tcPr>
            <w:tcW w:w="878" w:type="dxa"/>
            <w:shd w:val="clear" w:color="auto" w:fill="auto"/>
            <w:vAlign w:val="center"/>
          </w:tcPr>
          <w:p w14:paraId="173FEE14">
            <w:pPr>
              <w:spacing w:line="360" w:lineRule="auto"/>
              <w:jc w:val="center"/>
              <w:rPr>
                <w:rFonts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6</w:t>
            </w:r>
          </w:p>
        </w:tc>
        <w:tc>
          <w:tcPr>
            <w:tcW w:w="6654" w:type="dxa"/>
            <w:shd w:val="clear" w:color="auto" w:fill="auto"/>
            <w:vAlign w:val="center"/>
          </w:tcPr>
          <w:p w14:paraId="7EEBAF8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根据投标人提供的</w:t>
            </w:r>
            <w:r>
              <w:rPr>
                <w:rFonts w:hint="eastAsia" w:asciiTheme="minorEastAsia" w:hAnsiTheme="minorEastAsia" w:eastAsiaTheme="minorEastAsia"/>
                <w:szCs w:val="21"/>
              </w:rPr>
              <w:t>增值服务、</w:t>
            </w:r>
            <w:r>
              <w:rPr>
                <w:rFonts w:hint="eastAsia" w:cs="宋体" w:asciiTheme="minorEastAsia" w:hAnsiTheme="minorEastAsia" w:eastAsiaTheme="minorEastAsia"/>
                <w:color w:val="000000"/>
                <w:szCs w:val="21"/>
              </w:rPr>
              <w:t>支持服务、</w:t>
            </w:r>
            <w:r>
              <w:rPr>
                <w:rFonts w:hint="eastAsia" w:cs="宋体" w:asciiTheme="minorEastAsia" w:hAnsiTheme="minorEastAsia" w:eastAsiaTheme="minorEastAsia"/>
                <w:szCs w:val="21"/>
              </w:rPr>
              <w:t>项目实施</w:t>
            </w:r>
            <w:r>
              <w:rPr>
                <w:rFonts w:hint="eastAsia" w:cs="宋体" w:asciiTheme="minorEastAsia" w:hAnsiTheme="minorEastAsia" w:eastAsiaTheme="minorEastAsia"/>
                <w:color w:val="000000"/>
                <w:szCs w:val="21"/>
              </w:rPr>
              <w:t>、检测管控、检测效率、</w:t>
            </w:r>
            <w:r>
              <w:rPr>
                <w:rFonts w:hint="eastAsia" w:cs="宋体" w:asciiTheme="minorEastAsia" w:hAnsiTheme="minorEastAsia" w:eastAsiaTheme="minorEastAsia"/>
                <w:szCs w:val="21"/>
              </w:rPr>
              <w:t>标书制作质量、整体方案</w:t>
            </w:r>
            <w:r>
              <w:rPr>
                <w:rFonts w:hint="eastAsia" w:cs="宋体" w:asciiTheme="minorEastAsia" w:hAnsiTheme="minorEastAsia" w:eastAsiaTheme="minorEastAsia"/>
                <w:color w:val="000000"/>
                <w:szCs w:val="21"/>
              </w:rPr>
              <w:t>等方案</w:t>
            </w:r>
            <w:r>
              <w:rPr>
                <w:rFonts w:hint="eastAsia" w:cs="宋体" w:asciiTheme="minorEastAsia" w:hAnsiTheme="minorEastAsia" w:eastAsiaTheme="minorEastAsia"/>
                <w:szCs w:val="21"/>
              </w:rPr>
              <w:t>进行打分（6分）：</w:t>
            </w:r>
          </w:p>
          <w:p w14:paraId="7DD8D300">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方案科学、严密、合理，描述详细且具有针对性的得6分。</w:t>
            </w:r>
          </w:p>
          <w:p w14:paraId="41CEF3C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方案较科学、较严密、较合理，描述较详细且较具有针对性的得4分。</w:t>
            </w:r>
          </w:p>
          <w:p w14:paraId="175AD89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方案科学性、严密性、合理性、详细性、针对性一般的得2分。</w:t>
            </w:r>
          </w:p>
          <w:p w14:paraId="1E3FACF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方案具有不合理项、描述略欠缺的得1分。</w:t>
            </w:r>
          </w:p>
          <w:p w14:paraId="753562BC">
            <w:pPr>
              <w:pStyle w:val="10"/>
              <w:spacing w:line="360" w:lineRule="auto"/>
              <w:ind w:left="0" w:leftChars="0"/>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其余不得分。</w:t>
            </w:r>
          </w:p>
        </w:tc>
      </w:tr>
      <w:tr w14:paraId="0836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1EFD7F05">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w:t>
            </w:r>
          </w:p>
        </w:tc>
        <w:tc>
          <w:tcPr>
            <w:tcW w:w="1256" w:type="dxa"/>
            <w:vAlign w:val="center"/>
          </w:tcPr>
          <w:p w14:paraId="1E3BBCB2">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实验室能力</w:t>
            </w:r>
          </w:p>
        </w:tc>
        <w:tc>
          <w:tcPr>
            <w:tcW w:w="878" w:type="dxa"/>
            <w:vAlign w:val="center"/>
          </w:tcPr>
          <w:p w14:paraId="7445CF5C">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6</w:t>
            </w:r>
          </w:p>
        </w:tc>
        <w:tc>
          <w:tcPr>
            <w:tcW w:w="6654" w:type="dxa"/>
            <w:shd w:val="clear" w:color="auto" w:fill="auto"/>
            <w:vAlign w:val="center"/>
          </w:tcPr>
          <w:p w14:paraId="01D808CE">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根据投标人具有的相关证书进行评分（6分）：</w:t>
            </w:r>
          </w:p>
          <w:p w14:paraId="6514D0F4">
            <w:pPr>
              <w:numPr>
                <w:ilvl w:val="0"/>
                <w:numId w:val="2"/>
              </w:num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有效的ISO15189实验室认可证书；  </w:t>
            </w:r>
          </w:p>
          <w:p w14:paraId="18300228">
            <w:pPr>
              <w:numPr>
                <w:ilvl w:val="0"/>
                <w:numId w:val="2"/>
              </w:num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生物</w:t>
            </w:r>
            <w:r>
              <w:rPr>
                <w:rFonts w:hint="eastAsia" w:cs="宋体" w:asciiTheme="minorEastAsia" w:hAnsiTheme="minorEastAsia" w:eastAsiaTheme="minorEastAsia"/>
                <w:szCs w:val="21"/>
                <w:highlight w:val="none"/>
                <w:lang w:val="en-US" w:eastAsia="zh-CN"/>
              </w:rPr>
              <w:t>安全</w:t>
            </w:r>
            <w:r>
              <w:rPr>
                <w:rFonts w:hint="eastAsia" w:cs="宋体" w:asciiTheme="minorEastAsia" w:hAnsiTheme="minorEastAsia" w:eastAsiaTheme="minorEastAsia"/>
                <w:szCs w:val="21"/>
                <w:highlight w:val="none"/>
              </w:rPr>
              <w:t>实验室备案证</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 xml:space="preserve">         </w:t>
            </w:r>
          </w:p>
          <w:p w14:paraId="35C67AB9">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szCs w:val="21"/>
                <w:highlight w:val="none"/>
              </w:rPr>
              <w:t>2024年国家临检中心或省临检中心室间质评证书</w:t>
            </w:r>
            <w:r>
              <w:rPr>
                <w:rFonts w:hint="eastAsia" w:cs="宋体" w:asciiTheme="minorEastAsia" w:hAnsiTheme="minorEastAsia" w:eastAsiaTheme="minorEastAsia"/>
                <w:szCs w:val="21"/>
                <w:highlight w:val="none"/>
              </w:rPr>
              <w:t>；</w:t>
            </w:r>
          </w:p>
          <w:p w14:paraId="56232E38">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4、有效的</w:t>
            </w:r>
            <w:r>
              <w:rPr>
                <w:rFonts w:hint="eastAsia" w:asciiTheme="minorEastAsia" w:hAnsiTheme="minorEastAsia" w:eastAsiaTheme="minorEastAsia"/>
                <w:szCs w:val="21"/>
                <w:highlight w:val="none"/>
              </w:rPr>
              <w:t>高新技术企业证书；</w:t>
            </w:r>
          </w:p>
          <w:p w14:paraId="134CC5BA">
            <w:pPr>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w:t>
            </w:r>
            <w:r>
              <w:rPr>
                <w:rFonts w:hint="eastAsia" w:asciiTheme="minorEastAsia" w:hAnsiTheme="minorEastAsia" w:eastAsiaTheme="minorEastAsia"/>
                <w:szCs w:val="21"/>
                <w:highlight w:val="none"/>
              </w:rPr>
              <w:t>、高新技术</w:t>
            </w:r>
            <w:r>
              <w:rPr>
                <w:rFonts w:hint="eastAsia" w:asciiTheme="minorEastAsia" w:hAnsiTheme="minorEastAsia" w:eastAsiaTheme="minorEastAsia"/>
                <w:szCs w:val="21"/>
                <w:highlight w:val="none"/>
                <w:lang w:val="en-US" w:eastAsia="zh-CN"/>
              </w:rPr>
              <w:t>产品证书</w:t>
            </w:r>
            <w:r>
              <w:rPr>
                <w:rFonts w:hint="eastAsia" w:asciiTheme="minorEastAsia" w:hAnsiTheme="minorEastAsia" w:eastAsiaTheme="minorEastAsia"/>
                <w:szCs w:val="21"/>
                <w:highlight w:val="none"/>
              </w:rPr>
              <w:t>；</w:t>
            </w:r>
          </w:p>
          <w:p w14:paraId="678CA1E0">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市级以上荣誉证书；</w:t>
            </w:r>
          </w:p>
          <w:p w14:paraId="43A07C85">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每提供一份有效的证书得1分，最高得6分，以上每项最多可得1分。</w:t>
            </w:r>
          </w:p>
        </w:tc>
      </w:tr>
      <w:tr w14:paraId="09E4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208DE422">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w:t>
            </w:r>
          </w:p>
        </w:tc>
        <w:tc>
          <w:tcPr>
            <w:tcW w:w="1256" w:type="dxa"/>
            <w:vAlign w:val="center"/>
          </w:tcPr>
          <w:p w14:paraId="77121F32">
            <w:pPr>
              <w:spacing w:line="360" w:lineRule="auto"/>
              <w:jc w:val="center"/>
              <w:rPr>
                <w:rFonts w:asciiTheme="minorEastAsia" w:hAnsiTheme="minorEastAsia" w:eastAsiaTheme="minorEastAsia"/>
                <w:color w:val="000000" w:themeColor="text1"/>
                <w:szCs w:val="21"/>
                <w:highlight w:val="none"/>
              </w:rPr>
            </w:pPr>
            <w:r>
              <w:rPr>
                <w:rFonts w:hint="eastAsia" w:cs="宋体" w:asciiTheme="minorEastAsia" w:hAnsiTheme="minorEastAsia" w:eastAsiaTheme="minorEastAsia"/>
                <w:szCs w:val="21"/>
                <w:highlight w:val="none"/>
              </w:rPr>
              <w:t>实验室</w:t>
            </w:r>
            <w:r>
              <w:rPr>
                <w:rFonts w:hint="eastAsia" w:asciiTheme="minorEastAsia" w:hAnsiTheme="minorEastAsia" w:eastAsiaTheme="minorEastAsia"/>
                <w:szCs w:val="21"/>
                <w:highlight w:val="none"/>
              </w:rPr>
              <w:t>人员</w:t>
            </w:r>
          </w:p>
        </w:tc>
        <w:tc>
          <w:tcPr>
            <w:tcW w:w="878" w:type="dxa"/>
            <w:vAlign w:val="center"/>
          </w:tcPr>
          <w:p w14:paraId="124F3AD6">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6</w:t>
            </w:r>
          </w:p>
        </w:tc>
        <w:tc>
          <w:tcPr>
            <w:tcW w:w="6654" w:type="dxa"/>
            <w:shd w:val="clear" w:color="auto" w:fill="auto"/>
            <w:vAlign w:val="center"/>
          </w:tcPr>
          <w:p w14:paraId="6881B296">
            <w:pPr>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根据投标人的检验人员职称及相关证书进行评分（6分）：</w:t>
            </w:r>
          </w:p>
          <w:p w14:paraId="528D3A2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具有医学检验副高级及以上职称的，每有人得1.5分，最高得3分；</w:t>
            </w:r>
          </w:p>
          <w:p w14:paraId="239AE3B6">
            <w:pPr>
              <w:spacing w:line="360" w:lineRule="auto"/>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具有医学检验中级及以上职称的，每有1人得1分，最高得2分</w:t>
            </w:r>
            <w:r>
              <w:rPr>
                <w:rFonts w:hint="eastAsia" w:asciiTheme="minorEastAsia" w:hAnsiTheme="minorEastAsia" w:eastAsiaTheme="minorEastAsia"/>
                <w:szCs w:val="21"/>
                <w:highlight w:val="none"/>
                <w:lang w:eastAsia="zh-CN"/>
              </w:rPr>
              <w:t>；</w:t>
            </w:r>
          </w:p>
          <w:p w14:paraId="472CB610">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具有医学检验初级及以上职称的，每有1人得0.5分，最高得1分。</w:t>
            </w:r>
          </w:p>
          <w:p w14:paraId="302B5BF3">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[提供职称证书、投标截止时间前六个月内任三个月的社保缴费证明、退休返聘人员提供工作合同。以上资料需加盖供应商公章，未提供或提供不全不得分。同一人员不重复计分。]</w:t>
            </w:r>
          </w:p>
        </w:tc>
      </w:tr>
      <w:tr w14:paraId="149A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653" w:type="dxa"/>
            <w:vAlign w:val="center"/>
          </w:tcPr>
          <w:p w14:paraId="60C749BB">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w:t>
            </w:r>
          </w:p>
        </w:tc>
        <w:tc>
          <w:tcPr>
            <w:tcW w:w="1256" w:type="dxa"/>
            <w:shd w:val="clear" w:color="auto" w:fill="auto"/>
            <w:vAlign w:val="center"/>
          </w:tcPr>
          <w:p w14:paraId="781C9E2C">
            <w:pPr>
              <w:spacing w:line="360" w:lineRule="auto"/>
              <w:jc w:val="center"/>
              <w:rPr>
                <w:rFonts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业绩</w:t>
            </w:r>
          </w:p>
        </w:tc>
        <w:tc>
          <w:tcPr>
            <w:tcW w:w="878" w:type="dxa"/>
            <w:shd w:val="clear" w:color="auto" w:fill="auto"/>
            <w:vAlign w:val="center"/>
          </w:tcPr>
          <w:p w14:paraId="18CB2DCE">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val="en-US" w:eastAsia="zh-CN"/>
              </w:rPr>
              <w:t>10</w:t>
            </w:r>
          </w:p>
        </w:tc>
        <w:tc>
          <w:tcPr>
            <w:tcW w:w="6654" w:type="dxa"/>
            <w:shd w:val="clear" w:color="auto" w:fill="auto"/>
            <w:vAlign w:val="center"/>
          </w:tcPr>
          <w:p w14:paraId="67BED52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投标人自2022年1月1日（合同签订日）以来，承接过医院类似检测外包服务合同的业绩证明，每提供一份有效合同得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分，未提供不得分。</w:t>
            </w:r>
          </w:p>
          <w:p w14:paraId="407E0B96">
            <w:pPr>
              <w:spacing w:line="360" w:lineRule="auto"/>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[提供合同复印件并加盖公章，证明材料中须体现上述关键信息]</w:t>
            </w:r>
          </w:p>
        </w:tc>
      </w:tr>
      <w:bookmarkEnd w:id="35"/>
    </w:tbl>
    <w:p w14:paraId="43064EED">
      <w:pPr>
        <w:rPr>
          <w:color w:val="000000" w:themeColor="text1"/>
        </w:rPr>
      </w:pPr>
    </w:p>
    <w:p w14:paraId="68CB279C">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5CC93276">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7911C82A">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3D16C76F">
      <w:pPr>
        <w:pStyle w:val="15"/>
        <w:adjustRightInd w:val="0"/>
        <w:snapToGrid w:val="0"/>
        <w:spacing w:line="360" w:lineRule="auto"/>
        <w:ind w:firstLine="0" w:firstLineChars="0"/>
        <w:rPr>
          <w:color w:val="000000" w:themeColor="text1"/>
        </w:rPr>
      </w:pPr>
    </w:p>
    <w:p w14:paraId="3EFB3F1C">
      <w:pPr>
        <w:sectPr>
          <w:pgSz w:w="11906" w:h="16838"/>
          <w:pgMar w:top="1134" w:right="1418" w:bottom="1134" w:left="1418" w:header="568" w:footer="517" w:gutter="0"/>
          <w:cols w:space="720" w:num="1"/>
          <w:docGrid w:linePitch="312" w:charSpace="0"/>
        </w:sectPr>
      </w:pPr>
    </w:p>
    <w:p w14:paraId="3BC61C10">
      <w:pPr>
        <w:pStyle w:val="2"/>
        <w:spacing w:before="0" w:after="0" w:line="360" w:lineRule="auto"/>
        <w:jc w:val="center"/>
        <w:rPr>
          <w:color w:val="000000" w:themeColor="text1"/>
        </w:rPr>
      </w:pPr>
      <w:bookmarkStart w:id="38" w:name="_Toc132309531"/>
      <w:bookmarkStart w:id="39" w:name="_Toc521602503"/>
      <w:bookmarkStart w:id="40" w:name="_Toc168582607"/>
      <w:r>
        <w:rPr>
          <w:rFonts w:hint="eastAsia"/>
          <w:color w:val="000000" w:themeColor="text1"/>
        </w:rPr>
        <w:t>第四章  项目需求</w:t>
      </w:r>
      <w:bookmarkEnd w:id="38"/>
      <w:bookmarkEnd w:id="39"/>
      <w:bookmarkEnd w:id="40"/>
    </w:p>
    <w:p w14:paraId="34DBAEB7">
      <w:pPr>
        <w:pStyle w:val="19"/>
        <w:spacing w:line="360" w:lineRule="auto"/>
        <w:ind w:left="84"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585"/>
        <w:gridCol w:w="1843"/>
        <w:gridCol w:w="2551"/>
      </w:tblGrid>
      <w:tr w14:paraId="5120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279494B2">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3585" w:type="dxa"/>
            <w:shd w:val="clear" w:color="auto" w:fill="auto"/>
            <w:vAlign w:val="center"/>
          </w:tcPr>
          <w:p w14:paraId="34C27E96">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检测项目名称</w:t>
            </w:r>
          </w:p>
        </w:tc>
        <w:tc>
          <w:tcPr>
            <w:tcW w:w="1843" w:type="dxa"/>
            <w:vAlign w:val="center"/>
          </w:tcPr>
          <w:p w14:paraId="7A8054DD">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551" w:type="dxa"/>
            <w:vAlign w:val="center"/>
          </w:tcPr>
          <w:p w14:paraId="394047E9">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2F02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298FF868">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3585" w:type="dxa"/>
            <w:shd w:val="clear" w:color="auto" w:fill="auto"/>
            <w:vAlign w:val="center"/>
          </w:tcPr>
          <w:p w14:paraId="637B54E8">
            <w:pPr>
              <w:widowControl/>
              <w:jc w:val="center"/>
              <w:textAlignment w:val="center"/>
              <w:rPr>
                <w:rFonts w:ascii="宋体" w:hAnsi="宋体" w:cs="宋体"/>
                <w:color w:val="000000" w:themeColor="text1"/>
                <w:szCs w:val="21"/>
              </w:rPr>
            </w:pPr>
            <w:r>
              <w:rPr>
                <w:rFonts w:hint="eastAsia"/>
                <w:szCs w:val="21"/>
              </w:rPr>
              <w:t>脂阿拉伯甘露聚糖检测</w:t>
            </w:r>
          </w:p>
        </w:tc>
        <w:tc>
          <w:tcPr>
            <w:tcW w:w="1843" w:type="dxa"/>
            <w:vAlign w:val="center"/>
          </w:tcPr>
          <w:p w14:paraId="5083C819">
            <w:pPr>
              <w:jc w:val="center"/>
              <w:rPr>
                <w:rFonts w:ascii="宋体" w:hAnsi="宋体" w:cs="宋体"/>
                <w:color w:val="000000" w:themeColor="text1"/>
                <w:szCs w:val="21"/>
              </w:rPr>
            </w:pPr>
            <w:r>
              <w:rPr>
                <w:rFonts w:hint="eastAsia" w:ascii="宋体" w:hAnsi="宋体" w:cs="宋体"/>
                <w:color w:val="000000" w:themeColor="text1"/>
                <w:szCs w:val="21"/>
              </w:rPr>
              <w:t>约3</w:t>
            </w:r>
            <w:r>
              <w:rPr>
                <w:rFonts w:ascii="宋体" w:hAnsi="宋体" w:cs="宋体"/>
                <w:color w:val="000000" w:themeColor="text1"/>
                <w:szCs w:val="21"/>
              </w:rPr>
              <w:t>00</w:t>
            </w:r>
            <w:r>
              <w:rPr>
                <w:rFonts w:hint="eastAsia" w:ascii="宋体" w:hAnsi="宋体" w:cs="宋体"/>
                <w:color w:val="000000" w:themeColor="text1"/>
                <w:szCs w:val="21"/>
              </w:rPr>
              <w:t>例</w:t>
            </w:r>
          </w:p>
        </w:tc>
        <w:tc>
          <w:tcPr>
            <w:tcW w:w="2551" w:type="dxa"/>
            <w:shd w:val="clear" w:color="auto" w:fill="auto"/>
            <w:vAlign w:val="center"/>
          </w:tcPr>
          <w:p w14:paraId="62403245">
            <w:pPr>
              <w:jc w:val="center"/>
              <w:rPr>
                <w:rFonts w:ascii="宋体" w:hAnsi="宋体"/>
                <w:color w:val="000000" w:themeColor="text1"/>
                <w:szCs w:val="21"/>
              </w:rPr>
            </w:pPr>
            <w:r>
              <w:rPr>
                <w:rFonts w:hint="eastAsia" w:ascii="宋体" w:hAnsi="宋体" w:cs="宋体"/>
                <w:color w:val="000000" w:themeColor="text1"/>
                <w:szCs w:val="21"/>
              </w:rPr>
              <w:t>最终按实际完成量结算</w:t>
            </w:r>
          </w:p>
        </w:tc>
      </w:tr>
    </w:tbl>
    <w:p w14:paraId="63C4CC93"/>
    <w:p w14:paraId="7C066CFC">
      <w:pPr>
        <w:numPr>
          <w:ilvl w:val="0"/>
          <w:numId w:val="3"/>
        </w:numPr>
        <w:spacing w:line="360" w:lineRule="auto"/>
        <w:rPr>
          <w:rFonts w:ascii="宋体" w:hAnsi="宋体" w:cs="宋体"/>
          <w:b/>
          <w:bCs/>
          <w:color w:val="000000" w:themeColor="text1"/>
        </w:rPr>
      </w:pPr>
      <w:r>
        <w:rPr>
          <w:rFonts w:hint="eastAsia" w:ascii="宋体" w:hAnsi="宋体" w:cs="宋体"/>
          <w:b/>
          <w:bCs/>
          <w:color w:val="000000" w:themeColor="text1"/>
        </w:rPr>
        <w:t>技术参数（服务要求）</w:t>
      </w:r>
    </w:p>
    <w:tbl>
      <w:tblPr>
        <w:tblStyle w:val="3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24"/>
        <w:gridCol w:w="914"/>
      </w:tblGrid>
      <w:tr w14:paraId="20F3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8E2FE1">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序号</w:t>
            </w:r>
          </w:p>
        </w:tc>
        <w:tc>
          <w:tcPr>
            <w:tcW w:w="7024" w:type="dxa"/>
            <w:tcBorders>
              <w:top w:val="single" w:color="auto" w:sz="4" w:space="0"/>
              <w:left w:val="single" w:color="auto" w:sz="4" w:space="0"/>
              <w:bottom w:val="single" w:color="auto" w:sz="4" w:space="0"/>
              <w:right w:val="single" w:color="auto" w:sz="4" w:space="0"/>
            </w:tcBorders>
            <w:vAlign w:val="center"/>
          </w:tcPr>
          <w:p w14:paraId="2DBA6CC7">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服务要求</w:t>
            </w:r>
          </w:p>
        </w:tc>
        <w:tc>
          <w:tcPr>
            <w:tcW w:w="914" w:type="dxa"/>
            <w:tcBorders>
              <w:top w:val="single" w:color="auto" w:sz="4" w:space="0"/>
              <w:left w:val="single" w:color="auto" w:sz="4" w:space="0"/>
              <w:bottom w:val="single" w:color="auto" w:sz="4" w:space="0"/>
              <w:right w:val="single" w:color="auto" w:sz="4" w:space="0"/>
            </w:tcBorders>
            <w:vAlign w:val="center"/>
          </w:tcPr>
          <w:p w14:paraId="7D277C55">
            <w:pPr>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备注</w:t>
            </w:r>
          </w:p>
        </w:tc>
      </w:tr>
      <w:tr w14:paraId="0E36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C7F19B">
            <w:pPr>
              <w:widowControl/>
              <w:jc w:val="center"/>
              <w:textAlignment w:val="bottom"/>
              <w:rPr>
                <w:rFonts w:ascii="宋体" w:hAnsi="宋体" w:cs="宋体"/>
                <w:szCs w:val="21"/>
              </w:rPr>
            </w:pPr>
            <w:r>
              <w:rPr>
                <w:rFonts w:hint="eastAsia" w:ascii="宋体" w:hAnsi="宋体" w:cs="宋体"/>
                <w:kern w:val="0"/>
                <w:szCs w:val="21"/>
              </w:rPr>
              <w:t>★</w:t>
            </w:r>
            <w:r>
              <w:rPr>
                <w:rFonts w:hint="eastAsia" w:ascii="宋体" w:hAnsi="宋体" w:cs="宋体"/>
                <w:color w:val="000000"/>
                <w:kern w:val="0"/>
                <w:szCs w:val="21"/>
              </w:rPr>
              <w:t>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1DF6921">
            <w:pPr>
              <w:widowControl/>
              <w:rPr>
                <w:rFonts w:ascii="宋体" w:hAnsi="宋体" w:cs="宋体"/>
                <w:bCs/>
                <w:color w:val="000000"/>
                <w:kern w:val="0"/>
                <w:szCs w:val="21"/>
              </w:rPr>
            </w:pPr>
            <w:r>
              <w:rPr>
                <w:rFonts w:hint="eastAsia" w:ascii="宋体" w:hAnsi="宋体" w:cs="宋体"/>
                <w:szCs w:val="21"/>
              </w:rPr>
              <w:t>检测项目：</w:t>
            </w:r>
            <w:r>
              <w:rPr>
                <w:rFonts w:hint="eastAsia"/>
                <w:szCs w:val="21"/>
              </w:rPr>
              <w:t>脂阿拉伯甘露聚糖检测</w:t>
            </w:r>
          </w:p>
        </w:tc>
        <w:tc>
          <w:tcPr>
            <w:tcW w:w="914" w:type="dxa"/>
            <w:tcBorders>
              <w:top w:val="single" w:color="auto" w:sz="4" w:space="0"/>
              <w:left w:val="single" w:color="auto" w:sz="4" w:space="0"/>
              <w:bottom w:val="single" w:color="auto" w:sz="4" w:space="0"/>
              <w:right w:val="single" w:color="auto" w:sz="4" w:space="0"/>
            </w:tcBorders>
            <w:vAlign w:val="center"/>
          </w:tcPr>
          <w:p w14:paraId="5819D7CF">
            <w:pPr>
              <w:widowControl/>
              <w:jc w:val="center"/>
              <w:textAlignment w:val="center"/>
              <w:rPr>
                <w:rFonts w:ascii="宋体" w:hAnsi="宋体" w:cs="宋体"/>
                <w:bCs/>
                <w:color w:val="000000" w:themeColor="text1"/>
                <w:kern w:val="0"/>
                <w:szCs w:val="21"/>
              </w:rPr>
            </w:pPr>
          </w:p>
        </w:tc>
      </w:tr>
      <w:tr w14:paraId="6090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D74D7B3">
            <w:pPr>
              <w:widowControl/>
              <w:jc w:val="center"/>
              <w:textAlignment w:val="bottom"/>
              <w:rPr>
                <w:rFonts w:ascii="宋体" w:hAnsi="宋体" w:cs="宋体"/>
                <w:szCs w:val="21"/>
              </w:rPr>
            </w:pPr>
            <w:r>
              <w:rPr>
                <w:rFonts w:hint="eastAsia" w:ascii="宋体" w:hAnsi="宋体" w:cs="宋体"/>
                <w:color w:val="000000"/>
                <w:kern w:val="0"/>
                <w:szCs w:val="21"/>
              </w:rPr>
              <w:t>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DD2DC2C">
            <w:pPr>
              <w:widowControl/>
              <w:rPr>
                <w:rFonts w:ascii="宋体" w:hAnsi="宋体" w:cs="宋体"/>
                <w:kern w:val="0"/>
                <w:szCs w:val="21"/>
              </w:rPr>
            </w:pPr>
            <w:r>
              <w:rPr>
                <w:rFonts w:hint="eastAsia" w:ascii="宋体" w:hAnsi="宋体" w:cs="宋体"/>
                <w:szCs w:val="21"/>
              </w:rPr>
              <w:t>样本类型：尿液等</w:t>
            </w:r>
          </w:p>
        </w:tc>
        <w:tc>
          <w:tcPr>
            <w:tcW w:w="914" w:type="dxa"/>
            <w:tcBorders>
              <w:top w:val="single" w:color="auto" w:sz="4" w:space="0"/>
              <w:left w:val="single" w:color="auto" w:sz="4" w:space="0"/>
              <w:bottom w:val="single" w:color="auto" w:sz="4" w:space="0"/>
              <w:right w:val="single" w:color="auto" w:sz="4" w:space="0"/>
            </w:tcBorders>
            <w:vAlign w:val="center"/>
          </w:tcPr>
          <w:p w14:paraId="6FEE9029">
            <w:pPr>
              <w:widowControl/>
              <w:jc w:val="center"/>
              <w:textAlignment w:val="center"/>
              <w:rPr>
                <w:rFonts w:ascii="宋体" w:hAnsi="宋体" w:cs="宋体"/>
                <w:color w:val="000000" w:themeColor="text1"/>
                <w:kern w:val="0"/>
                <w:szCs w:val="21"/>
              </w:rPr>
            </w:pPr>
          </w:p>
        </w:tc>
      </w:tr>
      <w:tr w14:paraId="1680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08A5CC9">
            <w:pPr>
              <w:widowControl/>
              <w:jc w:val="center"/>
              <w:textAlignment w:val="bottom"/>
              <w:rPr>
                <w:rFonts w:ascii="宋体" w:hAnsi="宋体" w:cs="宋体"/>
                <w:color w:val="000000"/>
                <w:szCs w:val="21"/>
              </w:rPr>
            </w:pPr>
            <w:r>
              <w:rPr>
                <w:rFonts w:hint="eastAsia" w:ascii="宋体" w:hAnsi="宋体" w:cs="宋体"/>
                <w:color w:val="000000"/>
                <w:kern w:val="0"/>
                <w:szCs w:val="21"/>
              </w:rPr>
              <w:t>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2FFF1FF">
            <w:pPr>
              <w:widowControl/>
              <w:rPr>
                <w:rFonts w:ascii="宋体" w:hAnsi="宋体" w:cs="宋体"/>
                <w:color w:val="000000"/>
                <w:kern w:val="0"/>
                <w:szCs w:val="21"/>
              </w:rPr>
            </w:pPr>
            <w:r>
              <w:rPr>
                <w:rFonts w:hint="eastAsia" w:ascii="宋体" w:hAnsi="宋体" w:cs="宋体"/>
                <w:szCs w:val="21"/>
              </w:rPr>
              <w:t>检测方法：化学发光免疫法等</w:t>
            </w:r>
          </w:p>
        </w:tc>
        <w:tc>
          <w:tcPr>
            <w:tcW w:w="914" w:type="dxa"/>
            <w:tcBorders>
              <w:top w:val="single" w:color="auto" w:sz="4" w:space="0"/>
              <w:left w:val="single" w:color="auto" w:sz="4" w:space="0"/>
              <w:bottom w:val="single" w:color="auto" w:sz="4" w:space="0"/>
              <w:right w:val="single" w:color="auto" w:sz="4" w:space="0"/>
            </w:tcBorders>
            <w:vAlign w:val="center"/>
          </w:tcPr>
          <w:p w14:paraId="747915C2">
            <w:pPr>
              <w:widowControl/>
              <w:jc w:val="center"/>
              <w:textAlignment w:val="center"/>
              <w:rPr>
                <w:rFonts w:ascii="宋体" w:hAnsi="宋体" w:cs="宋体"/>
                <w:color w:val="000000" w:themeColor="text1"/>
                <w:kern w:val="0"/>
                <w:szCs w:val="21"/>
              </w:rPr>
            </w:pPr>
          </w:p>
        </w:tc>
      </w:tr>
      <w:tr w14:paraId="6062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3DE41E13">
            <w:pPr>
              <w:widowControl/>
              <w:jc w:val="center"/>
              <w:textAlignment w:val="bottom"/>
              <w:rPr>
                <w:rFonts w:ascii="宋体" w:hAnsi="宋体" w:cs="宋体"/>
                <w:color w:val="000000"/>
                <w:kern w:val="0"/>
                <w:szCs w:val="21"/>
              </w:rPr>
            </w:pPr>
            <w:r>
              <w:rPr>
                <w:rFonts w:hint="eastAsia" w:ascii="宋体" w:hAnsi="宋体" w:cs="宋体"/>
                <w:kern w:val="0"/>
                <w:szCs w:val="21"/>
              </w:rPr>
              <w:t>★</w:t>
            </w:r>
            <w:r>
              <w:rPr>
                <w:rFonts w:hint="eastAsia" w:ascii="宋体" w:hAnsi="宋体" w:cs="宋体"/>
                <w:color w:val="000000"/>
                <w:kern w:val="0"/>
                <w:szCs w:val="21"/>
              </w:rPr>
              <w:t>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159EE15">
            <w:pPr>
              <w:widowControl/>
              <w:rPr>
                <w:rFonts w:ascii="宋体" w:hAnsi="宋体" w:cs="宋体"/>
                <w:color w:val="000000"/>
                <w:kern w:val="0"/>
                <w:szCs w:val="21"/>
              </w:rPr>
            </w:pPr>
            <w:r>
              <w:rPr>
                <w:rFonts w:hint="eastAsia" w:ascii="宋体" w:hAnsi="宋体" w:cs="宋体"/>
                <w:szCs w:val="21"/>
              </w:rPr>
              <w:t>报告周期：</w:t>
            </w: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个自然日</w:t>
            </w:r>
          </w:p>
        </w:tc>
        <w:tc>
          <w:tcPr>
            <w:tcW w:w="914" w:type="dxa"/>
            <w:tcBorders>
              <w:top w:val="single" w:color="auto" w:sz="4" w:space="0"/>
              <w:left w:val="single" w:color="auto" w:sz="4" w:space="0"/>
              <w:bottom w:val="single" w:color="auto" w:sz="4" w:space="0"/>
              <w:right w:val="single" w:color="auto" w:sz="4" w:space="0"/>
            </w:tcBorders>
            <w:vAlign w:val="center"/>
          </w:tcPr>
          <w:p w14:paraId="43C62429">
            <w:pPr>
              <w:widowControl/>
              <w:jc w:val="center"/>
              <w:textAlignment w:val="center"/>
              <w:rPr>
                <w:rFonts w:ascii="宋体" w:hAnsi="宋体" w:cs="宋体"/>
                <w:color w:val="000000" w:themeColor="text1"/>
                <w:kern w:val="0"/>
                <w:szCs w:val="21"/>
              </w:rPr>
            </w:pPr>
          </w:p>
        </w:tc>
      </w:tr>
      <w:tr w14:paraId="4731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B33CAA6">
            <w:pPr>
              <w:widowControl/>
              <w:jc w:val="center"/>
              <w:textAlignment w:val="bottom"/>
              <w:rPr>
                <w:rFonts w:ascii="宋体" w:hAnsi="宋体" w:cs="宋体"/>
                <w:kern w:val="0"/>
                <w:szCs w:val="21"/>
              </w:rPr>
            </w:pPr>
            <w:r>
              <w:rPr>
                <w:rFonts w:hint="eastAsia" w:ascii="宋体" w:hAnsi="宋体" w:cs="宋体"/>
                <w:kern w:val="0"/>
                <w:szCs w:val="21"/>
              </w:rPr>
              <w:t>★5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9B87B6C">
            <w:pPr>
              <w:widowControl/>
              <w:rPr>
                <w:rFonts w:ascii="宋体" w:hAnsi="宋体" w:cs="宋体"/>
                <w:szCs w:val="21"/>
              </w:rPr>
            </w:pPr>
            <w:r>
              <w:rPr>
                <w:rFonts w:hint="eastAsia"/>
                <w:szCs w:val="21"/>
              </w:rPr>
              <w:t>标本采集后当日完成转运</w:t>
            </w:r>
          </w:p>
        </w:tc>
        <w:tc>
          <w:tcPr>
            <w:tcW w:w="914" w:type="dxa"/>
            <w:tcBorders>
              <w:top w:val="single" w:color="auto" w:sz="4" w:space="0"/>
              <w:left w:val="single" w:color="auto" w:sz="4" w:space="0"/>
              <w:bottom w:val="single" w:color="auto" w:sz="4" w:space="0"/>
              <w:right w:val="single" w:color="auto" w:sz="4" w:space="0"/>
            </w:tcBorders>
            <w:vAlign w:val="center"/>
          </w:tcPr>
          <w:p w14:paraId="1B2D2418">
            <w:pPr>
              <w:widowControl/>
              <w:jc w:val="center"/>
              <w:textAlignment w:val="center"/>
              <w:rPr>
                <w:rFonts w:ascii="宋体" w:hAnsi="宋体" w:cs="宋体"/>
                <w:color w:val="000000" w:themeColor="text1"/>
                <w:kern w:val="0"/>
                <w:szCs w:val="21"/>
              </w:rPr>
            </w:pPr>
          </w:p>
        </w:tc>
      </w:tr>
      <w:tr w14:paraId="3E37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D95C37A">
            <w:pPr>
              <w:widowControl/>
              <w:jc w:val="center"/>
              <w:textAlignment w:val="bottom"/>
              <w:rPr>
                <w:rFonts w:ascii="宋体" w:hAnsi="宋体" w:cs="宋体"/>
                <w:kern w:val="0"/>
                <w:szCs w:val="21"/>
              </w:rPr>
            </w:pPr>
            <w:r>
              <w:rPr>
                <w:rFonts w:hint="eastAsia" w:ascii="宋体" w:hAnsi="宋体" w:cs="宋体"/>
                <w:kern w:val="0"/>
                <w:szCs w:val="21"/>
              </w:rPr>
              <w:t>★6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13F1167">
            <w:pPr>
              <w:widowControl/>
              <w:rPr>
                <w:szCs w:val="21"/>
              </w:rPr>
            </w:pPr>
            <w:r>
              <w:rPr>
                <w:rFonts w:hint="eastAsia"/>
                <w:szCs w:val="21"/>
              </w:rPr>
              <w:t>标本全程采用医用冷链运输</w:t>
            </w:r>
          </w:p>
        </w:tc>
        <w:tc>
          <w:tcPr>
            <w:tcW w:w="914" w:type="dxa"/>
            <w:tcBorders>
              <w:top w:val="single" w:color="auto" w:sz="4" w:space="0"/>
              <w:left w:val="single" w:color="auto" w:sz="4" w:space="0"/>
              <w:bottom w:val="single" w:color="auto" w:sz="4" w:space="0"/>
              <w:right w:val="single" w:color="auto" w:sz="4" w:space="0"/>
            </w:tcBorders>
            <w:vAlign w:val="center"/>
          </w:tcPr>
          <w:p w14:paraId="4155BD5C">
            <w:pPr>
              <w:widowControl/>
              <w:jc w:val="center"/>
              <w:textAlignment w:val="center"/>
              <w:rPr>
                <w:rFonts w:ascii="宋体" w:hAnsi="宋体" w:cs="宋体"/>
                <w:color w:val="000000" w:themeColor="text1"/>
                <w:kern w:val="0"/>
                <w:szCs w:val="21"/>
              </w:rPr>
            </w:pPr>
          </w:p>
        </w:tc>
      </w:tr>
    </w:tbl>
    <w:p w14:paraId="2687A51A">
      <w:pPr>
        <w:spacing w:line="360" w:lineRule="auto"/>
        <w:rPr>
          <w:rFonts w:ascii="宋体" w:hAnsi="宋体" w:cs="宋体"/>
          <w:b/>
          <w:bCs/>
          <w:color w:val="000000" w:themeColor="text1"/>
        </w:rPr>
      </w:pPr>
    </w:p>
    <w:p w14:paraId="454B36CD">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77CE7594">
      <w:pPr>
        <w:spacing w:line="360" w:lineRule="auto"/>
        <w:ind w:firstLine="420" w:firstLineChars="200"/>
        <w:rPr>
          <w:rFonts w:ascii="宋体" w:hAnsi="宋体" w:cs="宋体"/>
          <w:szCs w:val="21"/>
        </w:rPr>
      </w:pPr>
      <w:r>
        <w:rPr>
          <w:rFonts w:hint="eastAsia" w:ascii="宋体" w:hAnsi="宋体" w:cs="宋体"/>
          <w:szCs w:val="21"/>
        </w:rPr>
        <w:t>1、本项目所有所需的试剂耗材、生物安全转运箱等由中标人免费提供。</w:t>
      </w:r>
    </w:p>
    <w:p w14:paraId="638BC1E6">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bookmarkStart w:id="41" w:name="OLE_LINK10"/>
      <w:r>
        <w:rPr>
          <w:rFonts w:hint="eastAsia" w:ascii="宋体" w:hAnsi="宋体" w:cs="宋体"/>
          <w:szCs w:val="21"/>
        </w:rPr>
        <w:t>中标人按采购人要求，安排专人上门收取标本</w:t>
      </w:r>
      <w:bookmarkEnd w:id="41"/>
      <w:r>
        <w:rPr>
          <w:rFonts w:hint="eastAsia" w:ascii="宋体" w:hAnsi="宋体" w:cs="宋体"/>
          <w:szCs w:val="21"/>
        </w:rPr>
        <w:t>。若发现样本信息不一致、或样本不合格等异常情况，应及时通知采购人重新确认送检信息，或重新采样等工作。</w:t>
      </w:r>
    </w:p>
    <w:p w14:paraId="44029B50">
      <w:pPr>
        <w:pStyle w:val="29"/>
        <w:shd w:val="clear" w:color="auto" w:fill="FFFFFF"/>
        <w:spacing w:before="0" w:beforeAutospacing="0" w:after="0" w:afterAutospacing="0" w:line="360" w:lineRule="auto"/>
        <w:ind w:firstLine="426"/>
        <w:rPr>
          <w:kern w:val="2"/>
          <w:sz w:val="21"/>
          <w:szCs w:val="21"/>
        </w:rPr>
      </w:pPr>
      <w:r>
        <w:rPr>
          <w:rFonts w:hint="eastAsia"/>
          <w:kern w:val="2"/>
          <w:sz w:val="21"/>
          <w:szCs w:val="21"/>
        </w:rPr>
        <w:t>3、中标人需要在标本采集后当日完成转运。</w:t>
      </w:r>
    </w:p>
    <w:p w14:paraId="30F13778">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、中标人在收到样本后，根据收到的样本，及时安排样本检测，在收到样本之后在约定的工作日内出具检测结果，并将检验结果传送至采购人。</w:t>
      </w:r>
    </w:p>
    <w:p w14:paraId="7D0919C5">
      <w:pPr>
        <w:spacing w:line="360" w:lineRule="auto"/>
        <w:ind w:firstLine="420" w:firstLineChars="200"/>
        <w:rPr>
          <w:rFonts w:ascii="宋体" w:hAnsi="宋体" w:cs="宋体"/>
          <w:szCs w:val="21"/>
          <w:highlight w:val="none"/>
        </w:rPr>
      </w:pPr>
      <w:r>
        <w:rPr>
          <w:rFonts w:ascii="宋体" w:hAnsi="宋体" w:cs="宋体"/>
          <w:szCs w:val="21"/>
        </w:rPr>
        <w:t>5</w:t>
      </w:r>
      <w:r>
        <w:rPr>
          <w:rFonts w:hint="eastAsia" w:ascii="宋体" w:hAnsi="宋体" w:cs="宋体"/>
          <w:szCs w:val="21"/>
          <w:highlight w:val="none"/>
        </w:rPr>
        <w:t>、样本的保存：</w:t>
      </w:r>
      <w:bookmarkStart w:id="42" w:name="OLE_LINK7"/>
      <w:r>
        <w:rPr>
          <w:rFonts w:hint="eastAsia" w:ascii="宋体" w:hAnsi="宋体" w:cs="宋体"/>
          <w:szCs w:val="21"/>
          <w:highlight w:val="none"/>
        </w:rPr>
        <w:t>中标人</w:t>
      </w:r>
      <w:bookmarkEnd w:id="42"/>
      <w:r>
        <w:rPr>
          <w:rFonts w:hint="eastAsia" w:ascii="宋体" w:hAnsi="宋体" w:cs="宋体"/>
          <w:szCs w:val="21"/>
          <w:highlight w:val="none"/>
        </w:rPr>
        <w:t>应按国家和行业标准对样本进行保存和销毁。所有经过检测后的剩余样本，中标人应做好保存和销毁工作，不得提供给采购人以外的任何第三方。</w:t>
      </w:r>
    </w:p>
    <w:p w14:paraId="68A7CFB3">
      <w:pPr>
        <w:spacing w:line="360" w:lineRule="auto"/>
        <w:ind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、中标人负责样本的转运，中标人需确保整个标本处置、转运流程、生物安全等符合相关法律法规和行业标准规范的要求。</w:t>
      </w:r>
    </w:p>
    <w:p w14:paraId="0B8CC2F0">
      <w:pPr>
        <w:spacing w:line="360" w:lineRule="auto"/>
        <w:ind w:firstLine="420" w:firstLineChars="200"/>
        <w:rPr>
          <w:rFonts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、如采购人对检测结果有异议，将在收到检测报告之日起5个工作日内提出，中标人应无条件免费重新检测。</w:t>
      </w:r>
    </w:p>
    <w:p w14:paraId="15E46DDD">
      <w:pPr>
        <w:spacing w:line="360" w:lineRule="auto"/>
        <w:ind w:firstLine="420" w:firstLineChars="200"/>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、中标人必须有能力完成采购人所列的所有项目检测，不得将采购人委托检测项目委托其他公司完成检测。（提供承诺函加盖投标人公章，格式自拟,未按要求提供视为无效投标）</w:t>
      </w:r>
    </w:p>
    <w:p w14:paraId="703B0D99">
      <w:pPr>
        <w:spacing w:line="360" w:lineRule="auto"/>
        <w:ind w:firstLine="420" w:firstLineChars="200"/>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、投标人需在投标文件技术响应偏离表中列明其无法提供的检查服务项目。</w:t>
      </w:r>
    </w:p>
    <w:p w14:paraId="368B3894">
      <w:pPr>
        <w:spacing w:line="360" w:lineRule="auto"/>
        <w:ind w:firstLine="420" w:firstLineChars="200"/>
        <w:rPr>
          <w:rFonts w:ascii="宋体" w:hAnsi="宋体" w:cs="宋体"/>
          <w:szCs w:val="21"/>
          <w:highlight w:val="none"/>
        </w:rPr>
      </w:pPr>
      <w:r>
        <w:rPr>
          <w:rFonts w:ascii="宋体" w:hAnsi="宋体" w:cs="宋体"/>
          <w:szCs w:val="21"/>
          <w:highlight w:val="none"/>
        </w:rPr>
        <w:t>10</w:t>
      </w:r>
      <w:r>
        <w:rPr>
          <w:rFonts w:hint="eastAsia" w:ascii="宋体" w:hAnsi="宋体" w:cs="宋体"/>
          <w:szCs w:val="21"/>
          <w:highlight w:val="none"/>
        </w:rPr>
        <w:t>、本项目服务期限为1年或所有检测病例完成为止。</w:t>
      </w:r>
    </w:p>
    <w:p w14:paraId="292971E8">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投标报价应包括检测试剂耗材、物流费、检测费等，以及伴随服务/售后服务费等为完成招标文件规定的工作内容所涉及到的一切相关费用，投标人中标后不得以任何理由进行调整，费用自行考虑均包含在投标报价中，相关费用如缺项，视为让利。</w:t>
      </w:r>
    </w:p>
    <w:p w14:paraId="7E2221EF">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bookmarkStart w:id="43" w:name="_Toc168582608"/>
    </w:p>
    <w:p w14:paraId="5F75B1EF">
      <w:pPr>
        <w:rPr>
          <w:color w:val="000000" w:themeColor="text1"/>
          <w:highlight w:val="yellow"/>
        </w:rPr>
      </w:pPr>
      <w:r>
        <w:rPr>
          <w:rFonts w:hint="eastAsia"/>
          <w:color w:val="000000" w:themeColor="text1"/>
          <w:highlight w:val="yellow"/>
        </w:rPr>
        <w:br w:type="page"/>
      </w:r>
    </w:p>
    <w:p w14:paraId="373575A7">
      <w:pPr>
        <w:pStyle w:val="2"/>
        <w:spacing w:before="0" w:after="0" w:line="360" w:lineRule="auto"/>
        <w:jc w:val="center"/>
        <w:rPr>
          <w:color w:val="000000" w:themeColor="text1"/>
          <w:highlight w:val="none"/>
        </w:rPr>
      </w:pPr>
      <w:r>
        <w:rPr>
          <w:rFonts w:hint="eastAsia"/>
          <w:color w:val="000000" w:themeColor="text1"/>
          <w:highlight w:val="none"/>
        </w:rPr>
        <w:t>第五章  合同格式及条款（草案）</w:t>
      </w:r>
    </w:p>
    <w:bookmarkEnd w:id="43"/>
    <w:p w14:paraId="2DCBF5DA">
      <w:pPr>
        <w:adjustRightInd w:val="0"/>
        <w:snapToGrid w:val="0"/>
        <w:spacing w:line="360" w:lineRule="auto"/>
        <w:ind w:firstLine="525" w:firstLineChars="250"/>
        <w:jc w:val="center"/>
        <w:rPr>
          <w:rFonts w:ascii="宋体" w:hAnsi="宋体"/>
          <w:szCs w:val="21"/>
        </w:rPr>
      </w:pPr>
      <w:r>
        <w:rPr>
          <w:rFonts w:hint="eastAsia" w:ascii="宋体" w:hAnsi="宋体"/>
          <w:szCs w:val="21"/>
        </w:rPr>
        <w:t>委托第三方检测协议</w:t>
      </w:r>
    </w:p>
    <w:p w14:paraId="47E7247E">
      <w:pPr>
        <w:spacing w:line="360" w:lineRule="auto"/>
        <w:jc w:val="center"/>
        <w:rPr>
          <w:rFonts w:ascii="宋体" w:hAnsi="宋体"/>
          <w:color w:val="000000" w:themeColor="text1"/>
          <w:sz w:val="24"/>
        </w:rPr>
      </w:pPr>
      <w:r>
        <w:rPr>
          <w:rFonts w:hint="eastAsia" w:ascii="宋体" w:hAnsi="宋体"/>
          <w:color w:val="000000" w:themeColor="text1"/>
          <w:sz w:val="24"/>
        </w:rPr>
        <w:t xml:space="preserve">合同号: </w:t>
      </w:r>
    </w:p>
    <w:p w14:paraId="1669C1A3">
      <w:pPr>
        <w:adjustRightInd w:val="0"/>
        <w:snapToGrid w:val="0"/>
        <w:spacing w:line="360" w:lineRule="auto"/>
        <w:ind w:firstLine="525" w:firstLineChars="250"/>
        <w:rPr>
          <w:rFonts w:ascii="宋体" w:hAnsi="宋体"/>
          <w:szCs w:val="21"/>
        </w:rPr>
      </w:pPr>
      <w:r>
        <w:rPr>
          <w:rFonts w:hint="eastAsia" w:ascii="宋体" w:hAnsi="宋体"/>
          <w:szCs w:val="21"/>
        </w:rPr>
        <w:t>项目名称：</w:t>
      </w:r>
    </w:p>
    <w:p w14:paraId="2AA61752">
      <w:pPr>
        <w:adjustRightInd w:val="0"/>
        <w:snapToGrid w:val="0"/>
        <w:spacing w:line="360" w:lineRule="auto"/>
        <w:ind w:firstLine="525" w:firstLineChars="250"/>
        <w:rPr>
          <w:rFonts w:ascii="宋体" w:hAnsi="宋体"/>
          <w:szCs w:val="21"/>
        </w:rPr>
      </w:pPr>
      <w:r>
        <w:rPr>
          <w:rFonts w:hint="eastAsia" w:ascii="宋体" w:hAnsi="宋体"/>
          <w:szCs w:val="21"/>
        </w:rPr>
        <w:t>项目编号：</w:t>
      </w:r>
    </w:p>
    <w:p w14:paraId="227EC82F">
      <w:pPr>
        <w:adjustRightInd w:val="0"/>
        <w:snapToGrid w:val="0"/>
        <w:spacing w:line="360" w:lineRule="auto"/>
        <w:ind w:firstLine="525" w:firstLineChars="250"/>
        <w:rPr>
          <w:rFonts w:ascii="宋体" w:hAnsi="宋体"/>
          <w:szCs w:val="21"/>
        </w:rPr>
      </w:pPr>
      <w:r>
        <w:rPr>
          <w:rFonts w:hint="eastAsia" w:ascii="宋体" w:hAnsi="宋体"/>
          <w:szCs w:val="21"/>
        </w:rPr>
        <w:t xml:space="preserve">甲方：                                    </w:t>
      </w:r>
    </w:p>
    <w:p w14:paraId="13B6CA85">
      <w:pPr>
        <w:adjustRightInd w:val="0"/>
        <w:snapToGrid w:val="0"/>
        <w:spacing w:line="360" w:lineRule="auto"/>
        <w:ind w:firstLine="525" w:firstLineChars="250"/>
        <w:rPr>
          <w:rFonts w:ascii="宋体" w:hAnsi="宋体"/>
          <w:szCs w:val="21"/>
        </w:rPr>
      </w:pPr>
      <w:r>
        <w:rPr>
          <w:rFonts w:hint="eastAsia" w:ascii="宋体" w:hAnsi="宋体"/>
          <w:szCs w:val="21"/>
        </w:rPr>
        <w:t xml:space="preserve">统一社会信用代码：                        </w:t>
      </w:r>
    </w:p>
    <w:p w14:paraId="5288BE90">
      <w:pPr>
        <w:adjustRightInd w:val="0"/>
        <w:snapToGrid w:val="0"/>
        <w:spacing w:line="360" w:lineRule="auto"/>
        <w:ind w:firstLine="525" w:firstLineChars="250"/>
        <w:rPr>
          <w:rFonts w:ascii="宋体" w:hAnsi="宋体"/>
          <w:szCs w:val="21"/>
        </w:rPr>
      </w:pPr>
      <w:r>
        <w:rPr>
          <w:rFonts w:hint="eastAsia" w:ascii="宋体" w:hAnsi="宋体"/>
          <w:szCs w:val="21"/>
        </w:rPr>
        <w:t xml:space="preserve">通讯地址：                                </w:t>
      </w:r>
    </w:p>
    <w:p w14:paraId="4F742B19">
      <w:pPr>
        <w:adjustRightInd w:val="0"/>
        <w:snapToGrid w:val="0"/>
        <w:spacing w:line="360" w:lineRule="auto"/>
        <w:ind w:firstLine="525" w:firstLineChars="250"/>
        <w:rPr>
          <w:rFonts w:ascii="宋体" w:hAnsi="宋体"/>
          <w:szCs w:val="21"/>
        </w:rPr>
      </w:pPr>
      <w:r>
        <w:rPr>
          <w:rFonts w:hint="eastAsia" w:ascii="宋体" w:hAnsi="宋体"/>
          <w:szCs w:val="21"/>
        </w:rPr>
        <w:t xml:space="preserve">乙方：                                   </w:t>
      </w:r>
    </w:p>
    <w:p w14:paraId="403D2F41">
      <w:pPr>
        <w:adjustRightInd w:val="0"/>
        <w:snapToGrid w:val="0"/>
        <w:spacing w:line="360" w:lineRule="auto"/>
        <w:ind w:firstLine="525" w:firstLineChars="250"/>
        <w:rPr>
          <w:rFonts w:ascii="宋体" w:hAnsi="宋体"/>
          <w:szCs w:val="21"/>
        </w:rPr>
      </w:pPr>
      <w:r>
        <w:rPr>
          <w:rFonts w:hint="eastAsia" w:ascii="宋体" w:hAnsi="宋体"/>
          <w:szCs w:val="21"/>
        </w:rPr>
        <w:t xml:space="preserve">统一社会信用代码：                        </w:t>
      </w:r>
    </w:p>
    <w:p w14:paraId="1FDBB7B5">
      <w:pPr>
        <w:adjustRightInd w:val="0"/>
        <w:snapToGrid w:val="0"/>
        <w:spacing w:line="360" w:lineRule="auto"/>
        <w:ind w:firstLine="525" w:firstLineChars="250"/>
        <w:rPr>
          <w:rFonts w:ascii="宋体" w:hAnsi="宋体"/>
          <w:szCs w:val="21"/>
        </w:rPr>
      </w:pPr>
      <w:r>
        <w:rPr>
          <w:rFonts w:hint="eastAsia" w:ascii="宋体" w:hAnsi="宋体"/>
          <w:szCs w:val="21"/>
        </w:rPr>
        <w:t xml:space="preserve">通讯地址：                                </w:t>
      </w:r>
    </w:p>
    <w:p w14:paraId="34BDA8D9">
      <w:pPr>
        <w:adjustRightInd w:val="0"/>
        <w:snapToGrid w:val="0"/>
        <w:spacing w:line="360" w:lineRule="auto"/>
        <w:ind w:firstLine="525" w:firstLineChars="250"/>
        <w:rPr>
          <w:rFonts w:ascii="宋体" w:hAnsi="宋体"/>
          <w:szCs w:val="21"/>
        </w:rPr>
      </w:pPr>
      <w:r>
        <w:rPr>
          <w:rFonts w:hint="eastAsia" w:ascii="宋体" w:hAnsi="宋体"/>
          <w:szCs w:val="21"/>
        </w:rPr>
        <w:t>鉴于乙方具备提供</w:t>
      </w:r>
      <w:r>
        <w:rPr>
          <w:rFonts w:hint="eastAsia" w:ascii="宋体" w:hAnsi="宋体"/>
          <w:szCs w:val="21"/>
          <w:u w:val="single"/>
        </w:rPr>
        <w:t xml:space="preserve">   </w:t>
      </w:r>
      <w:r>
        <w:rPr>
          <w:rFonts w:hint="eastAsia" w:ascii="宋体" w:hAnsi="宋体"/>
          <w:szCs w:val="21"/>
        </w:rPr>
        <w:t>检测技术服务的资格、技术条件和能力，甲、乙双方经友好协商，在真实 、充分地表达各自意愿的基础上，就乙方为甲方提供检测服务等相关事宜达成一致，以资共同遵守。</w:t>
      </w:r>
    </w:p>
    <w:p w14:paraId="427AA964">
      <w:pPr>
        <w:adjustRightInd w:val="0"/>
        <w:snapToGrid w:val="0"/>
        <w:spacing w:line="360" w:lineRule="auto"/>
        <w:ind w:firstLine="527" w:firstLineChars="250"/>
        <w:rPr>
          <w:rFonts w:ascii="宋体" w:hAnsi="宋体"/>
          <w:szCs w:val="21"/>
        </w:rPr>
      </w:pPr>
      <w:r>
        <w:rPr>
          <w:rFonts w:hint="eastAsia" w:ascii="宋体" w:hAnsi="宋体"/>
          <w:b/>
          <w:bCs/>
          <w:szCs w:val="21"/>
        </w:rPr>
        <w:t>一、委托内容</w:t>
      </w:r>
    </w:p>
    <w:p w14:paraId="62911682">
      <w:pPr>
        <w:adjustRightInd w:val="0"/>
        <w:snapToGrid w:val="0"/>
        <w:spacing w:line="360" w:lineRule="auto"/>
        <w:ind w:firstLine="525" w:firstLineChars="250"/>
        <w:rPr>
          <w:rFonts w:ascii="宋体" w:hAnsi="宋体"/>
          <w:szCs w:val="21"/>
        </w:rPr>
      </w:pPr>
      <w:r>
        <w:rPr>
          <w:rFonts w:hint="eastAsia" w:ascii="宋体" w:hAnsi="宋体"/>
          <w:szCs w:val="21"/>
        </w:rPr>
        <w:t>甲、乙双方经友好协商，乙方向甲方提供以下检测服务：</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1"/>
        <w:gridCol w:w="1689"/>
        <w:gridCol w:w="1551"/>
        <w:gridCol w:w="1531"/>
      </w:tblGrid>
      <w:tr w14:paraId="0A3C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1" w:type="dxa"/>
            <w:vAlign w:val="center"/>
          </w:tcPr>
          <w:p w14:paraId="00E3A41E">
            <w:pPr>
              <w:adjustRightInd w:val="0"/>
              <w:snapToGrid w:val="0"/>
              <w:ind w:firstLine="525" w:firstLineChars="250"/>
              <w:jc w:val="center"/>
              <w:rPr>
                <w:rFonts w:ascii="宋体" w:hAnsi="宋体"/>
                <w:szCs w:val="21"/>
              </w:rPr>
            </w:pPr>
            <w:r>
              <w:rPr>
                <w:rFonts w:hint="eastAsia" w:ascii="宋体" w:hAnsi="宋体"/>
                <w:szCs w:val="21"/>
              </w:rPr>
              <w:t>检测项目</w:t>
            </w:r>
          </w:p>
        </w:tc>
        <w:tc>
          <w:tcPr>
            <w:tcW w:w="1689" w:type="dxa"/>
            <w:vAlign w:val="center"/>
          </w:tcPr>
          <w:p w14:paraId="12573C7C">
            <w:pPr>
              <w:adjustRightInd w:val="0"/>
              <w:snapToGrid w:val="0"/>
              <w:jc w:val="center"/>
              <w:rPr>
                <w:rFonts w:ascii="宋体" w:hAnsi="宋体"/>
                <w:szCs w:val="21"/>
              </w:rPr>
            </w:pPr>
            <w:r>
              <w:rPr>
                <w:rFonts w:hint="eastAsia" w:ascii="宋体" w:hAnsi="宋体"/>
                <w:szCs w:val="21"/>
              </w:rPr>
              <w:t>收费标准</w:t>
            </w:r>
          </w:p>
        </w:tc>
        <w:tc>
          <w:tcPr>
            <w:tcW w:w="1551" w:type="dxa"/>
            <w:vAlign w:val="center"/>
          </w:tcPr>
          <w:p w14:paraId="3443489E">
            <w:pPr>
              <w:adjustRightInd w:val="0"/>
              <w:snapToGrid w:val="0"/>
              <w:jc w:val="center"/>
              <w:rPr>
                <w:rFonts w:ascii="宋体" w:hAnsi="宋体"/>
                <w:szCs w:val="21"/>
              </w:rPr>
            </w:pPr>
            <w:r>
              <w:rPr>
                <w:rFonts w:hint="eastAsia" w:ascii="宋体" w:hAnsi="宋体"/>
                <w:szCs w:val="21"/>
              </w:rPr>
              <w:t>结算价格</w:t>
            </w:r>
          </w:p>
        </w:tc>
        <w:tc>
          <w:tcPr>
            <w:tcW w:w="1531" w:type="dxa"/>
            <w:vAlign w:val="center"/>
          </w:tcPr>
          <w:p w14:paraId="62A668B8">
            <w:pPr>
              <w:adjustRightInd w:val="0"/>
              <w:snapToGrid w:val="0"/>
              <w:jc w:val="center"/>
              <w:rPr>
                <w:rFonts w:ascii="宋体" w:hAnsi="宋体"/>
                <w:szCs w:val="21"/>
              </w:rPr>
            </w:pPr>
            <w:r>
              <w:rPr>
                <w:rFonts w:hint="eastAsia" w:ascii="宋体" w:hAnsi="宋体"/>
                <w:szCs w:val="21"/>
              </w:rPr>
              <w:t>检测周期</w:t>
            </w:r>
          </w:p>
        </w:tc>
      </w:tr>
      <w:tr w14:paraId="3570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1" w:type="dxa"/>
            <w:vAlign w:val="center"/>
          </w:tcPr>
          <w:p w14:paraId="52D7B316">
            <w:pPr>
              <w:adjustRightInd w:val="0"/>
              <w:snapToGrid w:val="0"/>
              <w:ind w:firstLine="525" w:firstLineChars="250"/>
              <w:jc w:val="center"/>
              <w:rPr>
                <w:rFonts w:ascii="宋体" w:hAnsi="宋体"/>
                <w:szCs w:val="21"/>
              </w:rPr>
            </w:pPr>
          </w:p>
        </w:tc>
        <w:tc>
          <w:tcPr>
            <w:tcW w:w="1689" w:type="dxa"/>
            <w:vAlign w:val="center"/>
          </w:tcPr>
          <w:p w14:paraId="6E2A9F2A">
            <w:pPr>
              <w:adjustRightInd w:val="0"/>
              <w:snapToGrid w:val="0"/>
              <w:ind w:firstLine="525" w:firstLineChars="250"/>
              <w:jc w:val="center"/>
              <w:rPr>
                <w:rFonts w:ascii="宋体" w:hAnsi="宋体"/>
                <w:szCs w:val="21"/>
              </w:rPr>
            </w:pPr>
          </w:p>
        </w:tc>
        <w:tc>
          <w:tcPr>
            <w:tcW w:w="1551" w:type="dxa"/>
            <w:vAlign w:val="center"/>
          </w:tcPr>
          <w:p w14:paraId="1EF29EB7">
            <w:pPr>
              <w:adjustRightInd w:val="0"/>
              <w:snapToGrid w:val="0"/>
              <w:ind w:firstLine="525" w:firstLineChars="250"/>
              <w:jc w:val="center"/>
              <w:rPr>
                <w:rFonts w:ascii="宋体" w:hAnsi="宋体"/>
                <w:szCs w:val="21"/>
              </w:rPr>
            </w:pPr>
          </w:p>
        </w:tc>
        <w:tc>
          <w:tcPr>
            <w:tcW w:w="1531" w:type="dxa"/>
            <w:vAlign w:val="center"/>
          </w:tcPr>
          <w:p w14:paraId="78CB1230">
            <w:pPr>
              <w:adjustRightInd w:val="0"/>
              <w:snapToGrid w:val="0"/>
              <w:ind w:firstLine="525" w:firstLineChars="250"/>
              <w:jc w:val="center"/>
              <w:rPr>
                <w:rFonts w:ascii="宋体" w:hAnsi="宋体"/>
                <w:szCs w:val="21"/>
              </w:rPr>
            </w:pPr>
          </w:p>
        </w:tc>
      </w:tr>
      <w:tr w14:paraId="2E12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1" w:type="dxa"/>
            <w:vAlign w:val="center"/>
          </w:tcPr>
          <w:p w14:paraId="33252A3B">
            <w:pPr>
              <w:adjustRightInd w:val="0"/>
              <w:snapToGrid w:val="0"/>
              <w:ind w:firstLine="525" w:firstLineChars="250"/>
              <w:jc w:val="center"/>
              <w:rPr>
                <w:rFonts w:ascii="宋体" w:hAnsi="宋体"/>
                <w:szCs w:val="21"/>
              </w:rPr>
            </w:pPr>
          </w:p>
        </w:tc>
        <w:tc>
          <w:tcPr>
            <w:tcW w:w="1689" w:type="dxa"/>
            <w:vAlign w:val="center"/>
          </w:tcPr>
          <w:p w14:paraId="20C50FB2">
            <w:pPr>
              <w:adjustRightInd w:val="0"/>
              <w:snapToGrid w:val="0"/>
              <w:ind w:firstLine="525" w:firstLineChars="250"/>
              <w:jc w:val="center"/>
              <w:rPr>
                <w:rFonts w:ascii="宋体" w:hAnsi="宋体"/>
                <w:szCs w:val="21"/>
              </w:rPr>
            </w:pPr>
          </w:p>
        </w:tc>
        <w:tc>
          <w:tcPr>
            <w:tcW w:w="1551" w:type="dxa"/>
            <w:vAlign w:val="center"/>
          </w:tcPr>
          <w:p w14:paraId="3F877287">
            <w:pPr>
              <w:adjustRightInd w:val="0"/>
              <w:snapToGrid w:val="0"/>
              <w:ind w:firstLine="525" w:firstLineChars="250"/>
              <w:jc w:val="center"/>
              <w:rPr>
                <w:rFonts w:ascii="宋体" w:hAnsi="宋体"/>
                <w:szCs w:val="21"/>
              </w:rPr>
            </w:pPr>
          </w:p>
        </w:tc>
        <w:tc>
          <w:tcPr>
            <w:tcW w:w="1531" w:type="dxa"/>
            <w:vAlign w:val="center"/>
          </w:tcPr>
          <w:p w14:paraId="5A2E9AF6">
            <w:pPr>
              <w:adjustRightInd w:val="0"/>
              <w:snapToGrid w:val="0"/>
              <w:ind w:firstLine="525" w:firstLineChars="250"/>
              <w:jc w:val="center"/>
              <w:rPr>
                <w:rFonts w:ascii="宋体" w:hAnsi="宋体"/>
                <w:szCs w:val="21"/>
              </w:rPr>
            </w:pPr>
          </w:p>
        </w:tc>
      </w:tr>
    </w:tbl>
    <w:p w14:paraId="643306AB">
      <w:pPr>
        <w:adjustRightInd w:val="0"/>
        <w:snapToGrid w:val="0"/>
        <w:spacing w:line="360" w:lineRule="auto"/>
        <w:ind w:firstLine="525" w:firstLineChars="250"/>
        <w:rPr>
          <w:rFonts w:ascii="宋体" w:hAnsi="宋体"/>
          <w:szCs w:val="21"/>
        </w:rPr>
      </w:pPr>
      <w:r>
        <w:rPr>
          <w:rFonts w:hint="eastAsia" w:ascii="宋体" w:hAnsi="宋体"/>
          <w:szCs w:val="21"/>
        </w:rPr>
        <w:t>说明：</w:t>
      </w:r>
    </w:p>
    <w:p w14:paraId="56A87F36">
      <w:pPr>
        <w:adjustRightInd w:val="0"/>
        <w:snapToGrid w:val="0"/>
        <w:spacing w:line="360" w:lineRule="auto"/>
        <w:ind w:firstLine="525" w:firstLineChars="250"/>
        <w:rPr>
          <w:rFonts w:ascii="宋体" w:hAnsi="宋体"/>
          <w:szCs w:val="21"/>
        </w:rPr>
      </w:pPr>
      <w:r>
        <w:rPr>
          <w:rFonts w:hint="eastAsia" w:ascii="宋体" w:hAnsi="宋体"/>
          <w:szCs w:val="21"/>
        </w:rPr>
        <w:t>1、检测周期是自乙方接收到合格样本至出具检测报告的时间。</w:t>
      </w:r>
    </w:p>
    <w:p w14:paraId="7E380E4D">
      <w:pPr>
        <w:adjustRightInd w:val="0"/>
        <w:snapToGrid w:val="0"/>
        <w:spacing w:line="360" w:lineRule="auto"/>
        <w:ind w:firstLine="525" w:firstLineChars="250"/>
        <w:rPr>
          <w:rFonts w:ascii="宋体" w:hAnsi="宋体"/>
          <w:szCs w:val="21"/>
        </w:rPr>
      </w:pPr>
      <w:r>
        <w:rPr>
          <w:rFonts w:hint="eastAsia" w:ascii="宋体" w:hAnsi="宋体"/>
          <w:szCs w:val="21"/>
        </w:rPr>
        <w:t>2、在合同期内如遇到政策性收费价格下调，结算价格等比例下调。</w:t>
      </w:r>
    </w:p>
    <w:p w14:paraId="3BECAF6A">
      <w:pPr>
        <w:adjustRightInd w:val="0"/>
        <w:snapToGrid w:val="0"/>
        <w:spacing w:line="360" w:lineRule="auto"/>
        <w:ind w:firstLine="525" w:firstLineChars="250"/>
        <w:rPr>
          <w:rFonts w:ascii="宋体" w:hAnsi="宋体"/>
          <w:szCs w:val="21"/>
        </w:rPr>
      </w:pPr>
      <w:r>
        <w:rPr>
          <w:rFonts w:hint="eastAsia" w:ascii="宋体" w:hAnsi="宋体"/>
          <w:szCs w:val="21"/>
        </w:rPr>
        <w:t>3、甲方如需增加检测项目，按现有的结算比例进行折算。</w:t>
      </w:r>
    </w:p>
    <w:p w14:paraId="288DA57E">
      <w:pPr>
        <w:adjustRightInd w:val="0"/>
        <w:snapToGrid w:val="0"/>
        <w:spacing w:line="360" w:lineRule="auto"/>
        <w:ind w:firstLine="527" w:firstLineChars="250"/>
        <w:rPr>
          <w:rFonts w:ascii="宋体" w:hAnsi="宋体"/>
          <w:szCs w:val="21"/>
        </w:rPr>
      </w:pPr>
      <w:r>
        <w:rPr>
          <w:rFonts w:hint="eastAsia" w:ascii="宋体" w:hAnsi="宋体"/>
          <w:b/>
          <w:bCs/>
          <w:szCs w:val="21"/>
        </w:rPr>
        <w:t>二、双方权利与义务</w:t>
      </w:r>
    </w:p>
    <w:p w14:paraId="6934B3F2">
      <w:pPr>
        <w:adjustRightInd w:val="0"/>
        <w:snapToGrid w:val="0"/>
        <w:spacing w:line="360" w:lineRule="auto"/>
        <w:ind w:firstLine="525" w:firstLineChars="250"/>
        <w:rPr>
          <w:rFonts w:ascii="宋体" w:hAnsi="宋体"/>
          <w:szCs w:val="21"/>
        </w:rPr>
      </w:pPr>
      <w:r>
        <w:rPr>
          <w:rFonts w:hint="eastAsia" w:ascii="宋体" w:hAnsi="宋体"/>
          <w:szCs w:val="21"/>
        </w:rPr>
        <w:t>（一）甲方权利和义务</w:t>
      </w:r>
    </w:p>
    <w:p w14:paraId="0AC52619">
      <w:pPr>
        <w:adjustRightInd w:val="0"/>
        <w:snapToGrid w:val="0"/>
        <w:spacing w:line="360" w:lineRule="auto"/>
        <w:ind w:firstLine="525" w:firstLineChars="250"/>
        <w:rPr>
          <w:rFonts w:ascii="宋体" w:hAnsi="宋体"/>
          <w:szCs w:val="21"/>
        </w:rPr>
      </w:pPr>
      <w:r>
        <w:rPr>
          <w:rFonts w:hint="eastAsia" w:ascii="宋体" w:hAnsi="宋体"/>
          <w:szCs w:val="21"/>
        </w:rPr>
        <w:t>1.受检者咨询：甲方负责告知受检者及家属关于检测项目的相关必要信息及各种检测技术的局限性，并对受检者给予咨询解答工作，安排和指导受检者在接受检测前签署相关的知情同意书。</w:t>
      </w:r>
    </w:p>
    <w:p w14:paraId="2EC939DF">
      <w:pPr>
        <w:adjustRightInd w:val="0"/>
        <w:snapToGrid w:val="0"/>
        <w:spacing w:line="360" w:lineRule="auto"/>
        <w:ind w:firstLine="525" w:firstLineChars="250"/>
        <w:rPr>
          <w:rFonts w:ascii="宋体" w:hAnsi="宋体"/>
          <w:szCs w:val="21"/>
        </w:rPr>
      </w:pPr>
      <w:r>
        <w:rPr>
          <w:rFonts w:hint="eastAsia" w:ascii="宋体" w:hAnsi="宋体"/>
          <w:szCs w:val="21"/>
        </w:rPr>
        <w:t>2.样本采集和前期处理：甲方负责样本采集并保证样本的合法性、合格性。甲方应当在约定的检测项目要求的规定时间内，按照规定的方式对其所采集的标本进行符合规范的前期处理和存储。</w:t>
      </w:r>
    </w:p>
    <w:p w14:paraId="6544EBF8">
      <w:pPr>
        <w:adjustRightInd w:val="0"/>
        <w:snapToGrid w:val="0"/>
        <w:spacing w:line="360" w:lineRule="auto"/>
        <w:ind w:firstLine="525" w:firstLineChars="250"/>
        <w:rPr>
          <w:rFonts w:ascii="宋体" w:hAnsi="宋体"/>
          <w:szCs w:val="21"/>
        </w:rPr>
      </w:pPr>
      <w:r>
        <w:rPr>
          <w:rFonts w:hint="eastAsia" w:ascii="宋体" w:hAnsi="宋体"/>
          <w:szCs w:val="21"/>
        </w:rPr>
        <w:t>3.样本递送：甲方负责向乙方提供样本及每份样本的检测申请单，并确保样本、申请单中受检者信息一致，受检者和送检医生均需签字。甲方根据双方约定的方式将上述资料和样本递送至乙方，同时提供签字确认的交接单。</w:t>
      </w:r>
    </w:p>
    <w:p w14:paraId="357BE725">
      <w:pPr>
        <w:adjustRightInd w:val="0"/>
        <w:snapToGrid w:val="0"/>
        <w:spacing w:line="360" w:lineRule="auto"/>
        <w:ind w:firstLine="525" w:firstLineChars="250"/>
        <w:rPr>
          <w:rFonts w:ascii="宋体" w:hAnsi="宋体"/>
          <w:szCs w:val="21"/>
        </w:rPr>
      </w:pPr>
      <w:r>
        <w:rPr>
          <w:rFonts w:hint="eastAsia" w:ascii="宋体" w:hAnsi="宋体"/>
          <w:szCs w:val="21"/>
        </w:rPr>
        <w:t>4.报告接收与发放：甲方应及时接收乙方所发放的检测报告单，根据检测结果及解释向受检者提供合理的医学建议。</w:t>
      </w:r>
    </w:p>
    <w:p w14:paraId="2CFCAC88">
      <w:pPr>
        <w:adjustRightInd w:val="0"/>
        <w:snapToGrid w:val="0"/>
        <w:spacing w:line="360" w:lineRule="auto"/>
        <w:ind w:firstLine="525" w:firstLineChars="250"/>
        <w:rPr>
          <w:rFonts w:ascii="宋体" w:hAnsi="宋体"/>
          <w:szCs w:val="21"/>
        </w:rPr>
      </w:pPr>
      <w:r>
        <w:rPr>
          <w:rFonts w:hint="eastAsia" w:ascii="宋体" w:hAnsi="宋体"/>
          <w:szCs w:val="21"/>
        </w:rPr>
        <w:t>5.样本重采：由于受检者个体差异及不可控因素导致样本不符合检测要求需要重新采样的，甲方需根据乙方的反馈信息及时与受检者沟通并安排重新采样，重新采样检测不收取费用。</w:t>
      </w:r>
    </w:p>
    <w:p w14:paraId="7313ABE0">
      <w:pPr>
        <w:adjustRightInd w:val="0"/>
        <w:snapToGrid w:val="0"/>
        <w:spacing w:line="360" w:lineRule="auto"/>
        <w:ind w:firstLine="600" w:firstLineChars="250"/>
        <w:rPr>
          <w:rFonts w:ascii="宋体" w:hAnsi="宋体"/>
          <w:sz w:val="24"/>
          <w:szCs w:val="24"/>
        </w:rPr>
      </w:pPr>
      <w:r>
        <w:rPr>
          <w:rFonts w:hint="eastAsia" w:ascii="宋体" w:hAnsi="宋体"/>
          <w:sz w:val="24"/>
          <w:szCs w:val="24"/>
        </w:rPr>
        <w:t>6.检测收费：甲方每</w:t>
      </w:r>
      <w:r>
        <w:rPr>
          <w:rFonts w:hint="eastAsia" w:ascii="宋体" w:hAnsi="宋体"/>
          <w:sz w:val="24"/>
          <w:szCs w:val="24"/>
          <w:u w:val="single"/>
        </w:rPr>
        <w:t xml:space="preserve">      </w:t>
      </w:r>
      <w:r>
        <w:rPr>
          <w:rFonts w:hint="eastAsia" w:ascii="宋体" w:hAnsi="宋体"/>
          <w:sz w:val="24"/>
          <w:szCs w:val="24"/>
        </w:rPr>
        <w:t>统计一次，并及时和乙方提供的对账单核对，准时结算检测费用。</w:t>
      </w:r>
    </w:p>
    <w:p w14:paraId="0514B1D5">
      <w:pPr>
        <w:adjustRightInd w:val="0"/>
        <w:snapToGrid w:val="0"/>
        <w:spacing w:line="360" w:lineRule="auto"/>
        <w:ind w:firstLine="600" w:firstLineChars="250"/>
        <w:rPr>
          <w:rFonts w:ascii="宋体" w:hAnsi="宋体"/>
          <w:szCs w:val="21"/>
        </w:rPr>
      </w:pPr>
      <w:r>
        <w:rPr>
          <w:rFonts w:hint="eastAsia" w:ascii="宋体" w:hAnsi="宋体"/>
          <w:sz w:val="24"/>
          <w:szCs w:val="24"/>
        </w:rPr>
        <w:t>7.甲方对乙</w:t>
      </w:r>
      <w:r>
        <w:rPr>
          <w:rFonts w:hint="eastAsia" w:ascii="宋体" w:hAnsi="宋体"/>
          <w:szCs w:val="21"/>
        </w:rPr>
        <w:t>方有监管权利，对乙方实验室以及提供的检测服务内容、质量进行定期或不定期质控监督。</w:t>
      </w:r>
    </w:p>
    <w:p w14:paraId="16EF9F9D">
      <w:pPr>
        <w:adjustRightInd w:val="0"/>
        <w:snapToGrid w:val="0"/>
        <w:spacing w:line="360" w:lineRule="auto"/>
        <w:ind w:firstLine="525" w:firstLineChars="250"/>
        <w:rPr>
          <w:rFonts w:ascii="宋体" w:hAnsi="宋体"/>
          <w:szCs w:val="21"/>
        </w:rPr>
      </w:pPr>
      <w:r>
        <w:rPr>
          <w:rFonts w:hint="eastAsia" w:ascii="宋体" w:hAnsi="宋体"/>
          <w:szCs w:val="21"/>
        </w:rPr>
        <w:t>8.其他：</w:t>
      </w:r>
      <w:r>
        <w:rPr>
          <w:rFonts w:hint="eastAsia" w:ascii="宋体" w:hAnsi="宋体"/>
          <w:szCs w:val="21"/>
          <w:u w:val="single"/>
        </w:rPr>
        <w:t xml:space="preserve">                                  </w:t>
      </w:r>
      <w:r>
        <w:rPr>
          <w:rFonts w:hint="eastAsia" w:ascii="宋体" w:hAnsi="宋体"/>
          <w:szCs w:val="21"/>
        </w:rPr>
        <w:t>。</w:t>
      </w:r>
    </w:p>
    <w:p w14:paraId="32B537C8">
      <w:pPr>
        <w:adjustRightInd w:val="0"/>
        <w:snapToGrid w:val="0"/>
        <w:spacing w:line="360" w:lineRule="auto"/>
        <w:ind w:firstLine="525" w:firstLineChars="250"/>
        <w:rPr>
          <w:rFonts w:ascii="宋体" w:hAnsi="宋体"/>
          <w:szCs w:val="21"/>
        </w:rPr>
      </w:pPr>
      <w:r>
        <w:rPr>
          <w:rFonts w:hint="eastAsia" w:ascii="宋体" w:hAnsi="宋体"/>
          <w:szCs w:val="21"/>
        </w:rPr>
        <w:t>（二）乙方权利和义务</w:t>
      </w:r>
    </w:p>
    <w:p w14:paraId="77D1EB9F">
      <w:pPr>
        <w:adjustRightInd w:val="0"/>
        <w:snapToGrid w:val="0"/>
        <w:spacing w:line="360" w:lineRule="auto"/>
        <w:ind w:firstLine="525" w:firstLineChars="250"/>
        <w:rPr>
          <w:rFonts w:ascii="宋体" w:hAnsi="宋体"/>
          <w:szCs w:val="21"/>
        </w:rPr>
      </w:pPr>
      <w:r>
        <w:rPr>
          <w:rFonts w:hint="eastAsia" w:ascii="宋体" w:hAnsi="宋体"/>
          <w:szCs w:val="21"/>
        </w:rPr>
        <w:t>1.临床培训和资料提供：乙方负责提供分析前样本的质量控制等相关内容的培训服务。乙方负责提供标本采集、运送所需的技术方法、递送所需的相应文本和材料。</w:t>
      </w:r>
    </w:p>
    <w:p w14:paraId="45BFC838">
      <w:pPr>
        <w:adjustRightInd w:val="0"/>
        <w:snapToGrid w:val="0"/>
        <w:spacing w:line="360" w:lineRule="auto"/>
        <w:ind w:firstLine="525" w:firstLineChars="250"/>
        <w:rPr>
          <w:rFonts w:ascii="宋体" w:hAnsi="宋体"/>
          <w:szCs w:val="21"/>
        </w:rPr>
      </w:pPr>
      <w:r>
        <w:rPr>
          <w:rFonts w:hint="eastAsia" w:ascii="宋体" w:hAnsi="宋体"/>
          <w:szCs w:val="21"/>
        </w:rPr>
        <w:t>2.样本接收：乙方安排专人负责接收甲方递送的样本，并将签字确认后的交接单交还甲方。乙方接收到样本后核对样本、检测申请单信息；若发现信息不一致、样本破损或外观异</w:t>
      </w:r>
      <w:r>
        <w:rPr>
          <w:rFonts w:hint="eastAsia" w:ascii="宋体" w:hAnsi="宋体"/>
          <w:color w:val="auto"/>
          <w:szCs w:val="21"/>
          <w:highlight w:val="none"/>
        </w:rPr>
        <w:t>常、无</w:t>
      </w:r>
      <w:r>
        <w:rPr>
          <w:rFonts w:hint="eastAsia" w:ascii="宋体" w:hAnsi="宋体"/>
          <w:szCs w:val="21"/>
        </w:rPr>
        <w:t>送检医生签字等现象，则该样本视为不合格样本，乙方应及时通知甲方确认送检信息或重采样本、补签字等。</w:t>
      </w:r>
    </w:p>
    <w:p w14:paraId="7B2A5B69">
      <w:pPr>
        <w:adjustRightInd w:val="0"/>
        <w:snapToGrid w:val="0"/>
        <w:spacing w:line="360" w:lineRule="auto"/>
        <w:ind w:firstLine="525" w:firstLineChars="250"/>
        <w:rPr>
          <w:rFonts w:ascii="宋体" w:hAnsi="宋体"/>
          <w:szCs w:val="21"/>
        </w:rPr>
      </w:pPr>
      <w:r>
        <w:rPr>
          <w:rFonts w:hint="eastAsia" w:ascii="宋体" w:hAnsi="宋体"/>
          <w:szCs w:val="21"/>
        </w:rPr>
        <w:t>3.样本检测：乙方负责在接收到合格的样本、相关知情同意书及临床申请单后，安排样本的检测。所有经过检测后的剩余样本，均由乙方按相关法规负责处理或长期保管，并保证不提供给甲方之外的第三人。</w:t>
      </w:r>
    </w:p>
    <w:p w14:paraId="70B9CD97">
      <w:pPr>
        <w:adjustRightInd w:val="0"/>
        <w:snapToGrid w:val="0"/>
        <w:spacing w:line="360" w:lineRule="auto"/>
        <w:ind w:firstLine="525" w:firstLineChars="250"/>
        <w:rPr>
          <w:rFonts w:ascii="宋体" w:hAnsi="宋体"/>
          <w:szCs w:val="21"/>
        </w:rPr>
      </w:pPr>
      <w:r>
        <w:rPr>
          <w:rFonts w:hint="eastAsia" w:ascii="宋体" w:hAnsi="宋体"/>
          <w:szCs w:val="21"/>
        </w:rPr>
        <w:t>（1）乙方严格按照相关标准开展本合同委托检测工作，不得转包、分包，保证工作全过程的公正性、科学性、准确性、可追溯性，并严格保障受检者个人隐私及数据安全，所涉及检测内容及结果不外泄。</w:t>
      </w:r>
    </w:p>
    <w:p w14:paraId="3117F24E">
      <w:pPr>
        <w:adjustRightInd w:val="0"/>
        <w:snapToGrid w:val="0"/>
        <w:spacing w:line="360" w:lineRule="auto"/>
        <w:ind w:firstLine="525" w:firstLineChars="250"/>
        <w:rPr>
          <w:rFonts w:ascii="宋体" w:hAnsi="宋体"/>
          <w:szCs w:val="21"/>
        </w:rPr>
      </w:pPr>
      <w:r>
        <w:rPr>
          <w:rFonts w:hint="eastAsia" w:ascii="宋体" w:hAnsi="宋体"/>
          <w:szCs w:val="21"/>
        </w:rPr>
        <w:t>（2）乙方检测时使用的设备必须在检定合格有效期内，环境符合标准检测要求。</w:t>
      </w:r>
    </w:p>
    <w:p w14:paraId="4FD9BD30">
      <w:pPr>
        <w:adjustRightInd w:val="0"/>
        <w:snapToGrid w:val="0"/>
        <w:spacing w:line="360" w:lineRule="auto"/>
        <w:ind w:firstLine="525" w:firstLineChars="250"/>
        <w:rPr>
          <w:rFonts w:ascii="宋体" w:hAnsi="宋体"/>
          <w:szCs w:val="21"/>
        </w:rPr>
      </w:pPr>
      <w:r>
        <w:rPr>
          <w:rFonts w:hint="eastAsia" w:ascii="宋体" w:hAnsi="宋体"/>
          <w:szCs w:val="21"/>
        </w:rPr>
        <w:t>（3）乙方对标本的全程管理符合检测需求和生物安全的要求。</w:t>
      </w:r>
    </w:p>
    <w:p w14:paraId="1B78A512">
      <w:pPr>
        <w:adjustRightInd w:val="0"/>
        <w:snapToGrid w:val="0"/>
        <w:spacing w:line="360" w:lineRule="auto"/>
        <w:ind w:firstLine="525" w:firstLineChars="250"/>
        <w:rPr>
          <w:rFonts w:ascii="宋体" w:hAnsi="宋体"/>
          <w:szCs w:val="21"/>
        </w:rPr>
      </w:pPr>
      <w:r>
        <w:rPr>
          <w:rFonts w:hint="eastAsia" w:ascii="宋体" w:hAnsi="宋体"/>
          <w:szCs w:val="21"/>
        </w:rPr>
        <w:t>（4）乙方保证检验过程中的质量控制。</w:t>
      </w:r>
    </w:p>
    <w:p w14:paraId="19CA38BE">
      <w:pPr>
        <w:adjustRightInd w:val="0"/>
        <w:snapToGrid w:val="0"/>
        <w:spacing w:line="360" w:lineRule="auto"/>
        <w:ind w:firstLine="525" w:firstLineChars="250"/>
        <w:rPr>
          <w:rFonts w:ascii="宋体" w:hAnsi="宋体"/>
          <w:szCs w:val="21"/>
        </w:rPr>
      </w:pPr>
      <w:r>
        <w:rPr>
          <w:rFonts w:hint="eastAsia" w:ascii="宋体" w:hAnsi="宋体"/>
          <w:szCs w:val="21"/>
        </w:rPr>
        <w:t>（5）乙方根据行业标准保留检测后的标本以备复检。由于标本量不够导致无法复检的，乙方不负责复检。检测后的标本保存期不少于7天，检测报告保存期同病历保管要求。</w:t>
      </w:r>
    </w:p>
    <w:p w14:paraId="3F29FC29">
      <w:pPr>
        <w:adjustRightInd w:val="0"/>
        <w:snapToGrid w:val="0"/>
        <w:spacing w:line="360" w:lineRule="auto"/>
        <w:ind w:firstLine="525" w:firstLineChars="250"/>
        <w:rPr>
          <w:rFonts w:ascii="宋体" w:hAnsi="宋体"/>
          <w:szCs w:val="21"/>
        </w:rPr>
      </w:pPr>
      <w:r>
        <w:rPr>
          <w:rFonts w:hint="eastAsia" w:ascii="宋体" w:hAnsi="宋体"/>
          <w:szCs w:val="21"/>
        </w:rPr>
        <w:t>（6）乙方仅对来样负责。乙方必须按照甲方委托书要求内容进行测试，出具检测报告。报告内容必须真实、准确，保证与所测试的原始数据一致。</w:t>
      </w:r>
    </w:p>
    <w:p w14:paraId="2D9A1ED2">
      <w:pPr>
        <w:adjustRightInd w:val="0"/>
        <w:snapToGrid w:val="0"/>
        <w:spacing w:line="360" w:lineRule="auto"/>
        <w:ind w:firstLine="525" w:firstLineChars="250"/>
        <w:rPr>
          <w:rFonts w:ascii="宋体" w:hAnsi="宋体"/>
          <w:szCs w:val="21"/>
        </w:rPr>
      </w:pPr>
      <w:r>
        <w:rPr>
          <w:rFonts w:hint="eastAsia" w:ascii="宋体" w:hAnsi="宋体"/>
          <w:szCs w:val="21"/>
        </w:rPr>
        <w:t>（7）乙方对甲方提供的相关检测信息确认无误后，应在承诺的检测周期内出具准确可靠的检测报告，乙方对出具的检测报告负全部责任。如有特殊情况不能在周期内出具报告，应及时告知甲方。</w:t>
      </w:r>
    </w:p>
    <w:p w14:paraId="2B4E1A9B">
      <w:pPr>
        <w:adjustRightInd w:val="0"/>
        <w:snapToGrid w:val="0"/>
        <w:spacing w:line="360" w:lineRule="auto"/>
        <w:ind w:firstLine="525" w:firstLineChars="250"/>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）乙方专业的技术人员负责向甲方解释各项检测方法、质控标准、结果。</w:t>
      </w:r>
    </w:p>
    <w:p w14:paraId="2A3FECA7">
      <w:pPr>
        <w:adjustRightInd w:val="0"/>
        <w:snapToGrid w:val="0"/>
        <w:spacing w:line="360" w:lineRule="auto"/>
        <w:ind w:firstLine="525" w:firstLineChars="250"/>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）配合甲方不定期对样本运输、检测流程、检验结果及检验质量的监督检查。</w:t>
      </w:r>
    </w:p>
    <w:p w14:paraId="41E74530">
      <w:pPr>
        <w:adjustRightInd w:val="0"/>
        <w:snapToGrid w:val="0"/>
        <w:spacing w:line="360" w:lineRule="auto"/>
        <w:ind w:firstLine="525" w:firstLineChars="250"/>
        <w:rPr>
          <w:rFonts w:ascii="宋体" w:hAnsi="宋体"/>
          <w:szCs w:val="21"/>
        </w:rPr>
      </w:pPr>
      <w:r>
        <w:rPr>
          <w:rFonts w:hint="eastAsia" w:ascii="宋体" w:hAnsi="宋体"/>
          <w:szCs w:val="21"/>
        </w:rPr>
        <w:t>4.报告发放：乙方应根据约定的各检测项目的检测周期将检测报告单以纸质报告和电子报告两种形式发给甲方，乙方自收到标本后，按照不同的检测项目所需周期完成相关检测。若由于样本自身或其他原因而导致的无法出具检测报告的情况，乙方需第一时间通知甲方。若出现检测项目危急值或双方约定的其他异常结果报告，乙方应立即电话通知甲方，并及时出具相应的纸质和电子报告。</w:t>
      </w:r>
    </w:p>
    <w:p w14:paraId="514CB2E2">
      <w:pPr>
        <w:adjustRightInd w:val="0"/>
        <w:snapToGrid w:val="0"/>
        <w:spacing w:line="360" w:lineRule="auto"/>
        <w:ind w:firstLine="525" w:firstLineChars="250"/>
        <w:rPr>
          <w:rFonts w:ascii="宋体" w:hAnsi="宋体"/>
          <w:szCs w:val="21"/>
        </w:rPr>
      </w:pPr>
      <w:r>
        <w:rPr>
          <w:rFonts w:hint="eastAsia" w:ascii="宋体" w:hAnsi="宋体"/>
          <w:szCs w:val="21"/>
        </w:rPr>
        <w:t>5.实验数据及样本回收：乙方应按检测周期将所有检测项目的原始实验数据（包括但不限于</w:t>
      </w:r>
      <w:r>
        <w:rPr>
          <w:rFonts w:hint="eastAsia" w:ascii="宋体" w:hAnsi="宋体"/>
          <w:szCs w:val="21"/>
          <w:u w:val="single"/>
        </w:rPr>
        <w:t xml:space="preserve">      </w:t>
      </w:r>
      <w:r>
        <w:rPr>
          <w:rFonts w:hint="eastAsia" w:ascii="宋体" w:hAnsi="宋体"/>
          <w:szCs w:val="21"/>
        </w:rPr>
        <w:t>等）返还甲方，样本需返回甲方或按国家有关要求保存。</w:t>
      </w:r>
    </w:p>
    <w:p w14:paraId="60B979BE">
      <w:pPr>
        <w:adjustRightInd w:val="0"/>
        <w:snapToGrid w:val="0"/>
        <w:spacing w:line="360" w:lineRule="auto"/>
        <w:ind w:firstLine="527" w:firstLineChars="250"/>
        <w:rPr>
          <w:rFonts w:ascii="宋体" w:hAnsi="宋体"/>
          <w:b/>
          <w:bCs/>
          <w:szCs w:val="21"/>
        </w:rPr>
      </w:pPr>
      <w:r>
        <w:rPr>
          <w:rFonts w:hint="eastAsia" w:ascii="宋体" w:hAnsi="宋体"/>
          <w:b/>
          <w:bCs/>
          <w:szCs w:val="21"/>
        </w:rPr>
        <w:t>三、受检样本的交接</w:t>
      </w:r>
    </w:p>
    <w:p w14:paraId="55AAD326">
      <w:pPr>
        <w:adjustRightInd w:val="0"/>
        <w:snapToGrid w:val="0"/>
        <w:spacing w:line="360" w:lineRule="auto"/>
        <w:ind w:firstLine="525" w:firstLineChars="250"/>
        <w:rPr>
          <w:rFonts w:ascii="宋体" w:hAnsi="宋体"/>
          <w:szCs w:val="21"/>
        </w:rPr>
      </w:pPr>
      <w:r>
        <w:rPr>
          <w:rFonts w:hint="eastAsia" w:ascii="宋体" w:hAnsi="宋体"/>
          <w:szCs w:val="21"/>
        </w:rPr>
        <w:t>（一）交接时间：乙方应在甲方通知后</w:t>
      </w:r>
      <w:r>
        <w:rPr>
          <w:rFonts w:hint="eastAsia" w:ascii="宋体" w:hAnsi="宋体"/>
          <w:szCs w:val="21"/>
          <w:u w:val="single"/>
        </w:rPr>
        <w:t xml:space="preserve">  </w:t>
      </w:r>
      <w:r>
        <w:rPr>
          <w:rFonts w:hint="eastAsia" w:ascii="宋体" w:hAnsi="宋体"/>
          <w:szCs w:val="21"/>
        </w:rPr>
        <w:t>小时内接收甲方递送的样本和资料。</w:t>
      </w:r>
    </w:p>
    <w:p w14:paraId="5A54AB6F">
      <w:pPr>
        <w:adjustRightInd w:val="0"/>
        <w:snapToGrid w:val="0"/>
        <w:spacing w:line="360" w:lineRule="auto"/>
        <w:ind w:firstLine="525" w:firstLineChars="250"/>
        <w:rPr>
          <w:rFonts w:ascii="宋体" w:hAnsi="宋体"/>
          <w:szCs w:val="21"/>
        </w:rPr>
      </w:pPr>
      <w:r>
        <w:rPr>
          <w:rFonts w:hint="eastAsia" w:ascii="宋体" w:hAnsi="宋体"/>
          <w:szCs w:val="21"/>
        </w:rPr>
        <w:t>（二）交接地点：</w:t>
      </w:r>
      <w:r>
        <w:rPr>
          <w:rFonts w:hint="eastAsia" w:ascii="宋体" w:hAnsi="宋体"/>
          <w:szCs w:val="21"/>
          <w:u w:val="single"/>
        </w:rPr>
        <w:t xml:space="preserve">              </w:t>
      </w:r>
      <w:r>
        <w:rPr>
          <w:rFonts w:hint="eastAsia" w:ascii="宋体" w:hAnsi="宋体"/>
          <w:szCs w:val="21"/>
        </w:rPr>
        <w:t>。</w:t>
      </w:r>
    </w:p>
    <w:p w14:paraId="477371F9">
      <w:pPr>
        <w:adjustRightInd w:val="0"/>
        <w:snapToGrid w:val="0"/>
        <w:spacing w:line="360" w:lineRule="auto"/>
        <w:ind w:firstLine="525" w:firstLineChars="250"/>
        <w:rPr>
          <w:rFonts w:ascii="宋体" w:hAnsi="宋体"/>
          <w:szCs w:val="21"/>
        </w:rPr>
      </w:pPr>
      <w:r>
        <w:rPr>
          <w:rFonts w:hint="eastAsia" w:ascii="宋体" w:hAnsi="宋体"/>
          <w:szCs w:val="21"/>
        </w:rPr>
        <w:t>（三）交接时甲方应保证包装符合运输和保存的要求；乙方接收或者在甲方通知后</w:t>
      </w:r>
      <w:r>
        <w:rPr>
          <w:rFonts w:hint="eastAsia" w:ascii="宋体" w:hAnsi="宋体"/>
          <w:szCs w:val="21"/>
          <w:u w:val="single"/>
        </w:rPr>
        <w:t xml:space="preserve">      </w:t>
      </w:r>
      <w:r>
        <w:rPr>
          <w:rFonts w:hint="eastAsia" w:ascii="宋体" w:hAnsi="宋体"/>
          <w:szCs w:val="21"/>
        </w:rPr>
        <w:t>小时，视为乙方已接收。</w:t>
      </w:r>
    </w:p>
    <w:p w14:paraId="50D3DA19">
      <w:pPr>
        <w:adjustRightInd w:val="0"/>
        <w:snapToGrid w:val="0"/>
        <w:spacing w:line="360" w:lineRule="auto"/>
        <w:ind w:firstLine="525" w:firstLineChars="250"/>
        <w:rPr>
          <w:rFonts w:ascii="宋体" w:hAnsi="宋体"/>
          <w:szCs w:val="21"/>
        </w:rPr>
      </w:pPr>
      <w:r>
        <w:rPr>
          <w:rFonts w:hint="eastAsia" w:ascii="宋体" w:hAnsi="宋体"/>
          <w:szCs w:val="21"/>
        </w:rPr>
        <w:t>（四）乙方应当在交接时应对样本及以下资料进行核对：</w:t>
      </w:r>
    </w:p>
    <w:p w14:paraId="471D7D72">
      <w:pPr>
        <w:adjustRightInd w:val="0"/>
        <w:snapToGrid w:val="0"/>
        <w:spacing w:line="360" w:lineRule="auto"/>
        <w:ind w:firstLine="525" w:firstLineChars="250"/>
        <w:rPr>
          <w:rFonts w:ascii="宋体" w:hAnsi="宋体"/>
          <w:szCs w:val="21"/>
        </w:rPr>
      </w:pPr>
      <w:r>
        <w:rPr>
          <w:rFonts w:hint="eastAsia" w:ascii="宋体" w:hAnsi="宋体"/>
          <w:szCs w:val="21"/>
        </w:rPr>
        <w:t xml:space="preserve"> 受检者姓名，性别，年龄，检测项目，申请单，送检标本是否符合要求。</w:t>
      </w:r>
    </w:p>
    <w:p w14:paraId="4B6CD0BA">
      <w:pPr>
        <w:adjustRightInd w:val="0"/>
        <w:snapToGrid w:val="0"/>
        <w:spacing w:line="360" w:lineRule="auto"/>
        <w:ind w:firstLine="525" w:firstLineChars="250"/>
        <w:rPr>
          <w:rFonts w:ascii="宋体" w:hAnsi="宋体"/>
          <w:szCs w:val="21"/>
        </w:rPr>
      </w:pPr>
      <w:r>
        <w:rPr>
          <w:rFonts w:hint="eastAsia" w:ascii="宋体" w:hAnsi="宋体"/>
          <w:szCs w:val="21"/>
        </w:rPr>
        <w:t>（五）受检样本由乙方自行或者指定的具有样本运输条件和资质的物流进行运输，并由该方承担相关费用。</w:t>
      </w:r>
    </w:p>
    <w:p w14:paraId="450198A0">
      <w:pPr>
        <w:adjustRightInd w:val="0"/>
        <w:snapToGrid w:val="0"/>
        <w:spacing w:line="360" w:lineRule="auto"/>
        <w:ind w:firstLine="527" w:firstLineChars="250"/>
        <w:rPr>
          <w:rFonts w:ascii="宋体" w:hAnsi="宋体"/>
          <w:b/>
          <w:bCs/>
          <w:szCs w:val="21"/>
        </w:rPr>
      </w:pPr>
      <w:r>
        <w:rPr>
          <w:rFonts w:hint="eastAsia" w:ascii="宋体" w:hAnsi="宋体"/>
          <w:b/>
          <w:bCs/>
          <w:szCs w:val="21"/>
        </w:rPr>
        <w:t>四、费用结算</w:t>
      </w:r>
    </w:p>
    <w:p w14:paraId="6D4225A6">
      <w:pPr>
        <w:adjustRightInd w:val="0"/>
        <w:snapToGrid w:val="0"/>
        <w:spacing w:line="360" w:lineRule="auto"/>
        <w:ind w:firstLine="525" w:firstLineChars="250"/>
        <w:rPr>
          <w:rFonts w:ascii="宋体" w:hAnsi="宋体"/>
          <w:szCs w:val="21"/>
        </w:rPr>
      </w:pPr>
      <w:r>
        <w:rPr>
          <w:rFonts w:hint="eastAsia" w:ascii="宋体" w:hAnsi="宋体"/>
          <w:szCs w:val="21"/>
        </w:rPr>
        <w:t>（一）结算规则：乙方每</w:t>
      </w:r>
      <w:r>
        <w:rPr>
          <w:rFonts w:hint="eastAsia" w:ascii="宋体" w:hAnsi="宋体"/>
          <w:szCs w:val="21"/>
          <w:u w:val="single"/>
        </w:rPr>
        <w:t xml:space="preserve">   </w:t>
      </w:r>
      <w:r>
        <w:rPr>
          <w:rFonts w:hint="eastAsia" w:ascii="宋体" w:hAnsi="宋体"/>
          <w:szCs w:val="21"/>
        </w:rPr>
        <w:t>以甲方收费凭证与乙方收到的样本数量作为统计业务量的依据，乙方将统计量同时发送至甲方。双方核对无误后，甲方在收到乙方开具的相应税务发票后</w:t>
      </w:r>
      <w:r>
        <w:rPr>
          <w:rFonts w:hint="eastAsia" w:ascii="宋体" w:hAnsi="宋体"/>
          <w:szCs w:val="21"/>
          <w:u w:val="single"/>
        </w:rPr>
        <w:t xml:space="preserve">   </w:t>
      </w:r>
      <w:r>
        <w:rPr>
          <w:rFonts w:hint="eastAsia" w:ascii="宋体" w:hAnsi="宋体"/>
          <w:szCs w:val="21"/>
        </w:rPr>
        <w:t>工作日内，按“业务量×结算价格”向乙方结算该周期内的检测费用。</w:t>
      </w:r>
    </w:p>
    <w:p w14:paraId="6E9418F1">
      <w:pPr>
        <w:adjustRightInd w:val="0"/>
        <w:snapToGrid w:val="0"/>
        <w:spacing w:line="360" w:lineRule="auto"/>
        <w:ind w:firstLine="525" w:firstLineChars="250"/>
        <w:rPr>
          <w:rFonts w:ascii="宋体" w:hAnsi="宋体"/>
          <w:szCs w:val="21"/>
        </w:rPr>
      </w:pPr>
      <w:r>
        <w:rPr>
          <w:rFonts w:hint="eastAsia" w:ascii="宋体" w:hAnsi="宋体"/>
          <w:szCs w:val="21"/>
        </w:rPr>
        <w:t>（二）乙方收款信息：</w:t>
      </w:r>
    </w:p>
    <w:p w14:paraId="50B9FB0F">
      <w:pPr>
        <w:adjustRightInd w:val="0"/>
        <w:snapToGrid w:val="0"/>
        <w:spacing w:line="360" w:lineRule="auto"/>
        <w:ind w:firstLine="525" w:firstLineChars="250"/>
        <w:rPr>
          <w:rFonts w:ascii="宋体" w:hAnsi="宋体"/>
          <w:szCs w:val="21"/>
        </w:rPr>
      </w:pPr>
      <w:r>
        <w:rPr>
          <w:rFonts w:hint="eastAsia" w:ascii="宋体" w:hAnsi="宋体"/>
          <w:szCs w:val="21"/>
        </w:rPr>
        <w:t xml:space="preserve">户名：                            </w:t>
      </w:r>
    </w:p>
    <w:p w14:paraId="0DE3FA06">
      <w:pPr>
        <w:adjustRightInd w:val="0"/>
        <w:snapToGrid w:val="0"/>
        <w:spacing w:line="360" w:lineRule="auto"/>
        <w:ind w:firstLine="525" w:firstLineChars="250"/>
        <w:rPr>
          <w:rFonts w:ascii="宋体" w:hAnsi="宋体"/>
          <w:szCs w:val="21"/>
        </w:rPr>
      </w:pPr>
      <w:r>
        <w:rPr>
          <w:rFonts w:hint="eastAsia" w:ascii="宋体" w:hAnsi="宋体"/>
          <w:szCs w:val="21"/>
        </w:rPr>
        <w:t xml:space="preserve">税号：                           </w:t>
      </w:r>
    </w:p>
    <w:p w14:paraId="48BE3DD7">
      <w:pPr>
        <w:adjustRightInd w:val="0"/>
        <w:snapToGrid w:val="0"/>
        <w:spacing w:line="360" w:lineRule="auto"/>
        <w:ind w:firstLine="525" w:firstLineChars="250"/>
        <w:rPr>
          <w:rFonts w:ascii="宋体" w:hAnsi="宋体"/>
          <w:szCs w:val="21"/>
        </w:rPr>
      </w:pPr>
      <w:r>
        <w:rPr>
          <w:rFonts w:hint="eastAsia" w:ascii="宋体" w:hAnsi="宋体"/>
          <w:szCs w:val="21"/>
        </w:rPr>
        <w:t xml:space="preserve">开户行：                           </w:t>
      </w:r>
    </w:p>
    <w:p w14:paraId="1CFEE682">
      <w:pPr>
        <w:adjustRightInd w:val="0"/>
        <w:snapToGrid w:val="0"/>
        <w:spacing w:line="360" w:lineRule="auto"/>
        <w:ind w:firstLine="525" w:firstLineChars="250"/>
        <w:rPr>
          <w:rFonts w:ascii="宋体" w:hAnsi="宋体"/>
          <w:szCs w:val="21"/>
        </w:rPr>
      </w:pPr>
      <w:r>
        <w:rPr>
          <w:rFonts w:hint="eastAsia" w:ascii="宋体" w:hAnsi="宋体"/>
          <w:szCs w:val="21"/>
        </w:rPr>
        <w:t xml:space="preserve">账号：                            </w:t>
      </w:r>
    </w:p>
    <w:p w14:paraId="7A6AE056">
      <w:pPr>
        <w:adjustRightInd w:val="0"/>
        <w:snapToGrid w:val="0"/>
        <w:spacing w:line="360" w:lineRule="auto"/>
        <w:ind w:firstLine="525" w:firstLineChars="250"/>
        <w:rPr>
          <w:rFonts w:ascii="宋体" w:hAnsi="宋体"/>
          <w:szCs w:val="21"/>
        </w:rPr>
      </w:pPr>
      <w:r>
        <w:rPr>
          <w:rFonts w:hint="eastAsia" w:ascii="宋体" w:hAnsi="宋体"/>
          <w:szCs w:val="21"/>
        </w:rPr>
        <w:t xml:space="preserve">地址：                             </w:t>
      </w:r>
    </w:p>
    <w:p w14:paraId="55AEC874">
      <w:pPr>
        <w:adjustRightInd w:val="0"/>
        <w:snapToGrid w:val="0"/>
        <w:spacing w:line="360" w:lineRule="auto"/>
        <w:ind w:firstLine="525" w:firstLineChars="250"/>
        <w:rPr>
          <w:rFonts w:ascii="宋体" w:hAnsi="宋体"/>
          <w:szCs w:val="21"/>
        </w:rPr>
      </w:pPr>
      <w:r>
        <w:rPr>
          <w:rFonts w:hint="eastAsia" w:ascii="宋体" w:hAnsi="宋体"/>
          <w:szCs w:val="21"/>
        </w:rPr>
        <w:t>（三）禁止现金交易，甲方将款项打入上述账号，即视为完成付款。</w:t>
      </w:r>
    </w:p>
    <w:p w14:paraId="7D103D61">
      <w:pPr>
        <w:adjustRightInd w:val="0"/>
        <w:snapToGrid w:val="0"/>
        <w:spacing w:line="360" w:lineRule="auto"/>
        <w:ind w:firstLine="527" w:firstLineChars="250"/>
        <w:rPr>
          <w:rFonts w:ascii="宋体" w:hAnsi="宋体"/>
          <w:b/>
          <w:bCs/>
          <w:szCs w:val="21"/>
        </w:rPr>
      </w:pPr>
      <w:r>
        <w:rPr>
          <w:rFonts w:hint="eastAsia" w:ascii="宋体" w:hAnsi="宋体"/>
          <w:b/>
          <w:bCs/>
          <w:szCs w:val="21"/>
        </w:rPr>
        <w:t>五、保密义务</w:t>
      </w:r>
    </w:p>
    <w:p w14:paraId="28B30AC7">
      <w:pPr>
        <w:adjustRightInd w:val="0"/>
        <w:snapToGrid w:val="0"/>
        <w:spacing w:line="360" w:lineRule="auto"/>
        <w:ind w:firstLine="525" w:firstLineChars="250"/>
        <w:rPr>
          <w:rFonts w:ascii="宋体" w:hAnsi="宋体"/>
          <w:szCs w:val="21"/>
        </w:rPr>
      </w:pPr>
      <w:r>
        <w:rPr>
          <w:rFonts w:hint="eastAsia" w:ascii="宋体" w:hAnsi="宋体"/>
          <w:szCs w:val="21"/>
        </w:rPr>
        <w:t>（一）在合作期内及以后，协议内容及双方相关资料（包括但不限于各类数据、受检者信息、检测报告、样本、价格、商业信息）均为保密资料。除非保密资料已通过正当途径为公众所知，或除非由拥有资料一方事先书面授权透露，双方均应各自对保密资料保密，不得向除对方以外的任何第三人透露，也不得将保密资料用于与本协议条款和条件不相符合的任何目的。</w:t>
      </w:r>
    </w:p>
    <w:p w14:paraId="6B66192C">
      <w:pPr>
        <w:adjustRightInd w:val="0"/>
        <w:snapToGrid w:val="0"/>
        <w:spacing w:line="360" w:lineRule="auto"/>
        <w:ind w:firstLine="525" w:firstLineChars="250"/>
        <w:rPr>
          <w:rFonts w:ascii="宋体" w:hAnsi="宋体"/>
          <w:szCs w:val="21"/>
        </w:rPr>
      </w:pPr>
      <w:r>
        <w:rPr>
          <w:rFonts w:hint="eastAsia" w:ascii="宋体" w:hAnsi="宋体"/>
          <w:szCs w:val="21"/>
        </w:rPr>
        <w:t>（二）双方只能向因职责所需而需要了解上述保密资料的工作人员透露保密资料，且该工作人员经双方协商授权确定，并应与授权的工作人员签订《保密合同》以防止未经授权向第三人披露。</w:t>
      </w:r>
    </w:p>
    <w:p w14:paraId="1D8FC96C">
      <w:pPr>
        <w:adjustRightInd w:val="0"/>
        <w:snapToGrid w:val="0"/>
        <w:spacing w:line="360" w:lineRule="auto"/>
        <w:ind w:firstLine="525" w:firstLineChars="250"/>
        <w:rPr>
          <w:rFonts w:ascii="宋体" w:hAnsi="宋体"/>
          <w:szCs w:val="21"/>
        </w:rPr>
      </w:pPr>
      <w:r>
        <w:rPr>
          <w:rFonts w:hint="eastAsia" w:ascii="宋体" w:hAnsi="宋体"/>
          <w:szCs w:val="21"/>
        </w:rPr>
        <w:t>（三）双方保证对受检者所有信息保密，除非该信息已经由受检者主动公开。</w:t>
      </w:r>
    </w:p>
    <w:p w14:paraId="2350611D">
      <w:pPr>
        <w:adjustRightInd w:val="0"/>
        <w:snapToGrid w:val="0"/>
        <w:spacing w:line="360" w:lineRule="auto"/>
        <w:ind w:firstLine="525" w:firstLineChars="250"/>
        <w:rPr>
          <w:rFonts w:ascii="宋体" w:hAnsi="宋体"/>
          <w:szCs w:val="21"/>
        </w:rPr>
      </w:pPr>
      <w:r>
        <w:rPr>
          <w:rFonts w:hint="eastAsia" w:ascii="宋体" w:hAnsi="宋体"/>
          <w:szCs w:val="21"/>
        </w:rPr>
        <w:t>（四）除征得甲方事先书面同意外，乙方不得将检测信息用于科研、宣传。</w:t>
      </w:r>
    </w:p>
    <w:p w14:paraId="44C4A586">
      <w:pPr>
        <w:adjustRightInd w:val="0"/>
        <w:snapToGrid w:val="0"/>
        <w:spacing w:line="360" w:lineRule="auto"/>
        <w:ind w:firstLine="525" w:firstLineChars="250"/>
        <w:rPr>
          <w:rFonts w:ascii="宋体" w:hAnsi="宋体"/>
          <w:szCs w:val="21"/>
        </w:rPr>
      </w:pPr>
      <w:r>
        <w:rPr>
          <w:rFonts w:hint="eastAsia" w:ascii="宋体" w:hAnsi="宋体"/>
          <w:szCs w:val="21"/>
        </w:rPr>
        <w:t>（五）本协议规定的保密义务不因本协议的终止、中止而失效，除非相关资料依法成为公开信息。</w:t>
      </w:r>
    </w:p>
    <w:p w14:paraId="5916DFDD">
      <w:pPr>
        <w:adjustRightInd w:val="0"/>
        <w:snapToGrid w:val="0"/>
        <w:spacing w:line="360" w:lineRule="auto"/>
        <w:ind w:firstLine="527" w:firstLineChars="250"/>
        <w:rPr>
          <w:rFonts w:ascii="宋体" w:hAnsi="宋体"/>
          <w:b/>
          <w:bCs/>
          <w:szCs w:val="21"/>
        </w:rPr>
      </w:pPr>
      <w:r>
        <w:rPr>
          <w:rFonts w:hint="eastAsia" w:ascii="宋体" w:hAnsi="宋体"/>
          <w:b/>
          <w:bCs/>
          <w:szCs w:val="21"/>
        </w:rPr>
        <w:t>六、违约责任</w:t>
      </w:r>
    </w:p>
    <w:p w14:paraId="16E64CA0">
      <w:pPr>
        <w:adjustRightInd w:val="0"/>
        <w:snapToGrid w:val="0"/>
        <w:spacing w:line="360" w:lineRule="auto"/>
        <w:ind w:firstLine="525" w:firstLineChars="250"/>
        <w:rPr>
          <w:rFonts w:ascii="宋体" w:hAnsi="宋体"/>
          <w:szCs w:val="21"/>
        </w:rPr>
      </w:pPr>
      <w:r>
        <w:rPr>
          <w:rFonts w:hint="eastAsia" w:ascii="宋体" w:hAnsi="宋体"/>
          <w:szCs w:val="21"/>
        </w:rPr>
        <w:t>（一）延期责任</w:t>
      </w:r>
    </w:p>
    <w:p w14:paraId="47E0F4AA">
      <w:pPr>
        <w:adjustRightInd w:val="0"/>
        <w:snapToGrid w:val="0"/>
        <w:spacing w:line="360" w:lineRule="auto"/>
        <w:ind w:firstLine="525" w:firstLineChars="250"/>
        <w:rPr>
          <w:rFonts w:ascii="宋体" w:hAnsi="宋体"/>
          <w:szCs w:val="21"/>
        </w:rPr>
      </w:pPr>
      <w:r>
        <w:rPr>
          <w:rFonts w:hint="eastAsia" w:ascii="宋体" w:hAnsi="宋体"/>
          <w:szCs w:val="21"/>
        </w:rPr>
        <w:t>1.如因甲方提供的样本及相关临床资料不合格或未能按时提供等原因导致的检测延误，由甲方自行承担责任，因乙方未尽临床培训等相应义务造成上述结果的情形除外。</w:t>
      </w:r>
    </w:p>
    <w:p w14:paraId="566A0FF8">
      <w:pPr>
        <w:adjustRightInd w:val="0"/>
        <w:snapToGrid w:val="0"/>
        <w:spacing w:line="360" w:lineRule="auto"/>
        <w:ind w:firstLine="525" w:firstLineChars="250"/>
        <w:rPr>
          <w:rFonts w:ascii="宋体" w:hAnsi="宋体"/>
          <w:szCs w:val="21"/>
        </w:rPr>
      </w:pPr>
      <w:r>
        <w:rPr>
          <w:rFonts w:hint="eastAsia" w:ascii="宋体" w:hAnsi="宋体"/>
          <w:szCs w:val="21"/>
        </w:rPr>
        <w:t>2.如因乙方原因（包括实验室内样本丢失、检测、出具报告等环节）不能按时提供检测结果导致的出具检测报告延误，由乙方按</w:t>
      </w:r>
      <w:r>
        <w:rPr>
          <w:rFonts w:hint="eastAsia" w:ascii="宋体" w:hAnsi="宋体"/>
          <w:szCs w:val="21"/>
          <w:u w:val="single"/>
        </w:rPr>
        <w:t xml:space="preserve">      </w:t>
      </w:r>
      <w:r>
        <w:rPr>
          <w:rFonts w:hint="eastAsia" w:ascii="宋体" w:hAnsi="宋体"/>
          <w:szCs w:val="21"/>
        </w:rPr>
        <w:t>元/份承担违约责任。</w:t>
      </w:r>
    </w:p>
    <w:p w14:paraId="417979C8">
      <w:pPr>
        <w:adjustRightInd w:val="0"/>
        <w:snapToGrid w:val="0"/>
        <w:spacing w:line="360" w:lineRule="auto"/>
        <w:ind w:firstLine="525" w:firstLineChars="250"/>
        <w:rPr>
          <w:rFonts w:ascii="宋体" w:hAnsi="宋体"/>
          <w:szCs w:val="21"/>
        </w:rPr>
      </w:pPr>
      <w:r>
        <w:rPr>
          <w:rFonts w:hint="eastAsia" w:ascii="宋体" w:hAnsi="宋体"/>
          <w:szCs w:val="21"/>
        </w:rPr>
        <w:t>3.乙方在检测或数据处理过程中因样本活性低、个体差异、结果疑难复杂需进一步验证性检测等原因而出现培养或检测困难，检测报告出具时间将相应延长，在该情况下乙方应在检测周期届满前及时通知甲方，由甲乙双方积极协商解决。非因乙方过错且乙方尽通知义务造成的延期的情形，不属于乙方的违约情况。</w:t>
      </w:r>
    </w:p>
    <w:p w14:paraId="7560E2A3">
      <w:pPr>
        <w:adjustRightInd w:val="0"/>
        <w:snapToGrid w:val="0"/>
        <w:spacing w:line="360" w:lineRule="auto"/>
        <w:ind w:firstLine="525" w:firstLineChars="250"/>
        <w:rPr>
          <w:rFonts w:ascii="宋体" w:hAnsi="宋体"/>
          <w:szCs w:val="21"/>
        </w:rPr>
      </w:pPr>
      <w:r>
        <w:rPr>
          <w:rFonts w:hint="eastAsia" w:ascii="宋体" w:hAnsi="宋体"/>
          <w:szCs w:val="21"/>
        </w:rPr>
        <w:t>4.不可抗拒的客观因素导致项目延误或协议不能继续履行时，双方均不承担责任。受到不可抗力影响的一方应当及时书面通知另一方，并出具证明材料。不可抗拒力包括地震、洪水、战争、军事行动、法律或政府政策等相关因素。</w:t>
      </w:r>
    </w:p>
    <w:p w14:paraId="443B5FB0">
      <w:pPr>
        <w:adjustRightInd w:val="0"/>
        <w:snapToGrid w:val="0"/>
        <w:spacing w:line="360" w:lineRule="auto"/>
        <w:ind w:firstLine="525" w:firstLineChars="250"/>
        <w:rPr>
          <w:rFonts w:ascii="宋体" w:hAnsi="宋体"/>
          <w:szCs w:val="21"/>
        </w:rPr>
      </w:pPr>
      <w:r>
        <w:rPr>
          <w:rFonts w:hint="eastAsia" w:ascii="宋体" w:hAnsi="宋体"/>
          <w:szCs w:val="21"/>
        </w:rPr>
        <w:t>5.特殊情况下，需要重新取样进行重新检测的，取样和检测均不重复收费。如遇无法出具报告的案例，由甲方负责退回受检者相应的检测费用，这种情形下甲方无需就该样本向乙方支付检测费用。</w:t>
      </w:r>
    </w:p>
    <w:p w14:paraId="759D6E4C">
      <w:pPr>
        <w:adjustRightInd w:val="0"/>
        <w:snapToGrid w:val="0"/>
        <w:spacing w:line="360" w:lineRule="auto"/>
        <w:ind w:firstLine="525" w:firstLineChars="250"/>
        <w:rPr>
          <w:rFonts w:ascii="宋体" w:hAnsi="宋体"/>
          <w:szCs w:val="21"/>
        </w:rPr>
      </w:pPr>
      <w:r>
        <w:rPr>
          <w:rFonts w:hint="eastAsia" w:ascii="宋体" w:hAnsi="宋体"/>
          <w:szCs w:val="21"/>
        </w:rPr>
        <w:t>（二）检测结果的争议</w:t>
      </w:r>
    </w:p>
    <w:p w14:paraId="120761E8">
      <w:pPr>
        <w:adjustRightInd w:val="0"/>
        <w:snapToGrid w:val="0"/>
        <w:spacing w:line="360" w:lineRule="auto"/>
        <w:ind w:firstLine="525" w:firstLineChars="250"/>
        <w:rPr>
          <w:rFonts w:ascii="宋体" w:hAnsi="宋体"/>
          <w:szCs w:val="21"/>
        </w:rPr>
      </w:pPr>
      <w:r>
        <w:rPr>
          <w:rFonts w:hint="eastAsia" w:ascii="宋体" w:hAnsi="宋体"/>
          <w:szCs w:val="21"/>
        </w:rPr>
        <w:t>1.乙方保证对甲方送检的合格样本收费（包括完整的临床申请单及受检者知情同意书）按照甲方申请的检测方法进行检测并对检测结果的质量承担责任。</w:t>
      </w:r>
    </w:p>
    <w:p w14:paraId="7867CFBD">
      <w:pPr>
        <w:adjustRightInd w:val="0"/>
        <w:snapToGrid w:val="0"/>
        <w:spacing w:line="360" w:lineRule="auto"/>
        <w:ind w:firstLine="525" w:firstLineChars="250"/>
        <w:rPr>
          <w:rFonts w:ascii="宋体" w:hAnsi="宋体"/>
          <w:szCs w:val="21"/>
        </w:rPr>
      </w:pPr>
      <w:r>
        <w:rPr>
          <w:rFonts w:hint="eastAsia" w:ascii="宋体" w:hAnsi="宋体"/>
          <w:szCs w:val="21"/>
        </w:rPr>
        <w:t>2.乙方保证在技术检测范围内完成全部检测内容。但是乙方在相应知情同意书上已标注的所用检测技术仍然不能全面覆盖生物复杂性的具体情形，乙方不承担责任。</w:t>
      </w:r>
    </w:p>
    <w:p w14:paraId="4038933A">
      <w:pPr>
        <w:adjustRightInd w:val="0"/>
        <w:snapToGrid w:val="0"/>
        <w:spacing w:line="360" w:lineRule="auto"/>
        <w:ind w:firstLine="525" w:firstLineChars="250"/>
        <w:rPr>
          <w:rFonts w:ascii="宋体" w:hAnsi="宋体"/>
          <w:szCs w:val="21"/>
        </w:rPr>
      </w:pPr>
      <w:r>
        <w:rPr>
          <w:rFonts w:hint="eastAsia" w:ascii="宋体" w:hAnsi="宋体"/>
          <w:szCs w:val="21"/>
        </w:rPr>
        <w:t>3.除上述情形之外，若甲乙双方对收费的样本检测结果的准确性有异议，可以在甲乙双方一致同意的前提下，通过中华医学会医疗事故技术鉴定办公室指定的单位用相应技术方法进行验证并组织专家论证，若确定为乙方检测结果不准确而造成的临床诊断失误，乙方承担相应责任。</w:t>
      </w:r>
    </w:p>
    <w:p w14:paraId="54FB8CB9">
      <w:pPr>
        <w:adjustRightInd w:val="0"/>
        <w:snapToGrid w:val="0"/>
        <w:spacing w:line="360" w:lineRule="auto"/>
        <w:ind w:firstLine="525" w:firstLineChars="250"/>
        <w:rPr>
          <w:rFonts w:ascii="宋体" w:hAnsi="宋体"/>
          <w:szCs w:val="21"/>
        </w:rPr>
      </w:pPr>
      <w:r>
        <w:rPr>
          <w:rFonts w:hint="eastAsia" w:ascii="宋体" w:hAnsi="宋体"/>
          <w:szCs w:val="21"/>
        </w:rPr>
        <w:t>4.甲方对乙方提交的检测结果有异议的应当在接收报告后3个工作日内提出。若甲方在上述期限内没有提出异议，乙方将视同甲方完全接受检测结果。如因乙方检测结果有误经认定为乙方责任的，因此造成的医疗纠纷由乙方负责（不因甲方接受检测结果而免除乙方责任），如因乙方提供的知情同意书不全面并由此造成的医疗纠纷由乙方自行承担。</w:t>
      </w:r>
    </w:p>
    <w:p w14:paraId="0699C2A8">
      <w:pPr>
        <w:adjustRightInd w:val="0"/>
        <w:snapToGrid w:val="0"/>
        <w:spacing w:line="360" w:lineRule="auto"/>
        <w:ind w:firstLine="525" w:firstLineChars="250"/>
        <w:rPr>
          <w:rFonts w:ascii="宋体" w:hAnsi="宋体"/>
          <w:szCs w:val="21"/>
        </w:rPr>
      </w:pPr>
      <w:r>
        <w:rPr>
          <w:rFonts w:hint="eastAsia" w:ascii="宋体" w:hAnsi="宋体"/>
          <w:szCs w:val="21"/>
        </w:rPr>
        <w:t>（三）违反保密义务</w:t>
      </w:r>
    </w:p>
    <w:p w14:paraId="49FE9D22">
      <w:pPr>
        <w:adjustRightInd w:val="0"/>
        <w:snapToGrid w:val="0"/>
        <w:spacing w:line="360" w:lineRule="auto"/>
        <w:ind w:firstLine="525" w:firstLineChars="250"/>
        <w:rPr>
          <w:rFonts w:ascii="宋体" w:hAnsi="宋体"/>
          <w:szCs w:val="21"/>
        </w:rPr>
      </w:pPr>
      <w:r>
        <w:rPr>
          <w:rFonts w:hint="eastAsia" w:ascii="宋体" w:hAnsi="宋体"/>
          <w:szCs w:val="21"/>
        </w:rPr>
        <w:t>甲乙双方如有违反本协议第五条保密义务的任何规定，则违约方须及时采取措施防止守约方损失扩大，赔偿守约方相关损失并支付</w:t>
      </w:r>
      <w:r>
        <w:rPr>
          <w:rFonts w:hint="eastAsia" w:ascii="宋体" w:hAnsi="宋体"/>
          <w:szCs w:val="21"/>
          <w:u w:val="single"/>
        </w:rPr>
        <w:t xml:space="preserve">   </w:t>
      </w:r>
      <w:r>
        <w:rPr>
          <w:rFonts w:hint="eastAsia" w:ascii="宋体" w:hAnsi="宋体"/>
          <w:szCs w:val="21"/>
        </w:rPr>
        <w:t>万元作为违约金。因违反保密条款引发侵权责任诉讼或赔偿事项的由违约方承担侵权法律责任。</w:t>
      </w:r>
    </w:p>
    <w:p w14:paraId="5899756C">
      <w:pPr>
        <w:adjustRightInd w:val="0"/>
        <w:snapToGrid w:val="0"/>
        <w:spacing w:line="360" w:lineRule="auto"/>
        <w:ind w:firstLine="525" w:firstLineChars="250"/>
        <w:rPr>
          <w:rFonts w:ascii="宋体" w:hAnsi="宋体"/>
          <w:szCs w:val="21"/>
        </w:rPr>
      </w:pPr>
      <w:r>
        <w:rPr>
          <w:rFonts w:hint="eastAsia" w:ascii="宋体" w:hAnsi="宋体"/>
          <w:szCs w:val="21"/>
        </w:rPr>
        <w:t>（四）禁止转包、分包</w:t>
      </w:r>
    </w:p>
    <w:p w14:paraId="5E2E35BF">
      <w:pPr>
        <w:adjustRightInd w:val="0"/>
        <w:snapToGrid w:val="0"/>
        <w:spacing w:line="360" w:lineRule="auto"/>
        <w:ind w:firstLine="525" w:firstLineChars="250"/>
        <w:rPr>
          <w:rFonts w:ascii="宋体" w:hAnsi="宋体"/>
          <w:szCs w:val="21"/>
        </w:rPr>
      </w:pPr>
      <w:r>
        <w:rPr>
          <w:rFonts w:hint="eastAsia" w:ascii="宋体" w:hAnsi="宋体"/>
          <w:szCs w:val="21"/>
        </w:rPr>
        <w:t>乙方应亲自履行合同义务，不得将检测项目转包、分包给第三方进行检测。如乙方未经甲方同意，将样本送至第三方检测的，发现一次立即终止协议。</w:t>
      </w:r>
    </w:p>
    <w:p w14:paraId="0439A986">
      <w:pPr>
        <w:adjustRightInd w:val="0"/>
        <w:snapToGrid w:val="0"/>
        <w:spacing w:line="360" w:lineRule="auto"/>
        <w:ind w:firstLine="525" w:firstLineChars="250"/>
        <w:rPr>
          <w:rFonts w:ascii="宋体" w:hAnsi="宋体"/>
          <w:szCs w:val="21"/>
        </w:rPr>
      </w:pPr>
      <w:r>
        <w:rPr>
          <w:rFonts w:hint="eastAsia" w:ascii="宋体" w:hAnsi="宋体"/>
          <w:szCs w:val="21"/>
        </w:rPr>
        <w:t>（五）检测不准确、不真实的责任承担</w:t>
      </w:r>
    </w:p>
    <w:p w14:paraId="3D2F4706">
      <w:pPr>
        <w:adjustRightInd w:val="0"/>
        <w:snapToGrid w:val="0"/>
        <w:spacing w:line="360" w:lineRule="auto"/>
        <w:ind w:firstLine="525" w:firstLineChars="250"/>
        <w:rPr>
          <w:rFonts w:ascii="宋体" w:hAnsi="宋体"/>
          <w:szCs w:val="21"/>
        </w:rPr>
      </w:pPr>
      <w:r>
        <w:rPr>
          <w:rFonts w:hint="eastAsia" w:ascii="宋体" w:hAnsi="宋体"/>
          <w:szCs w:val="21"/>
        </w:rPr>
        <w:t>如乙方出具的检测报告不准确或不真实，导致甲方对外承担包括但不限于民事赔偿、行政处罚等责任，应由乙方承担甲方经济损失等全部责任，并按最终经济损失的   向甲方支付违约金。</w:t>
      </w:r>
    </w:p>
    <w:p w14:paraId="79056EBB">
      <w:pPr>
        <w:adjustRightInd w:val="0"/>
        <w:snapToGrid w:val="0"/>
        <w:spacing w:line="360" w:lineRule="auto"/>
        <w:ind w:firstLine="527" w:firstLineChars="250"/>
        <w:rPr>
          <w:rFonts w:ascii="宋体" w:hAnsi="宋体"/>
          <w:szCs w:val="21"/>
        </w:rPr>
      </w:pPr>
      <w:r>
        <w:rPr>
          <w:rFonts w:hint="eastAsia" w:ascii="宋体" w:hAnsi="宋体"/>
          <w:b/>
          <w:bCs/>
          <w:szCs w:val="21"/>
        </w:rPr>
        <w:t>七、协议履行</w:t>
      </w:r>
    </w:p>
    <w:p w14:paraId="3259BC38">
      <w:pPr>
        <w:adjustRightInd w:val="0"/>
        <w:snapToGrid w:val="0"/>
        <w:spacing w:line="360" w:lineRule="auto"/>
        <w:ind w:firstLine="525" w:firstLineChars="250"/>
        <w:rPr>
          <w:rFonts w:ascii="宋体" w:hAnsi="宋体"/>
          <w:szCs w:val="21"/>
        </w:rPr>
      </w:pPr>
      <w:r>
        <w:rPr>
          <w:rFonts w:hint="eastAsia" w:ascii="宋体" w:hAnsi="宋体"/>
          <w:szCs w:val="21"/>
        </w:rPr>
        <w:t>为确保协议的全面履行，在整个项目执行的过程中，甲、乙双方应在遵守本协议的基础上，积极沟通，协调一致，保证该项目顺利进行。为保证沟通及时有效，合作双方确定在本协议有效期内，双方分别指定各方项目联系人。</w:t>
      </w:r>
    </w:p>
    <w:p w14:paraId="6D4B3D83">
      <w:pPr>
        <w:adjustRightInd w:val="0"/>
        <w:snapToGrid w:val="0"/>
        <w:spacing w:line="360" w:lineRule="auto"/>
        <w:ind w:firstLine="525" w:firstLineChars="250"/>
        <w:rPr>
          <w:rFonts w:ascii="宋体" w:hAnsi="宋体"/>
          <w:szCs w:val="21"/>
        </w:rPr>
      </w:pPr>
      <w:r>
        <w:rPr>
          <w:rFonts w:hint="eastAsia" w:ascii="宋体" w:hAnsi="宋体"/>
          <w:szCs w:val="21"/>
        </w:rPr>
        <w:t>甲方指定（</w:t>
      </w:r>
      <w:r>
        <w:rPr>
          <w:rFonts w:hint="eastAsia" w:ascii="宋体" w:hAnsi="宋体"/>
          <w:szCs w:val="21"/>
          <w:u w:val="single"/>
        </w:rPr>
        <w:t xml:space="preserve">                      </w:t>
      </w:r>
      <w:r>
        <w:rPr>
          <w:rFonts w:hint="eastAsia" w:ascii="宋体" w:hAnsi="宋体"/>
          <w:szCs w:val="21"/>
        </w:rPr>
        <w:t>）为甲方项目联系人。</w:t>
      </w:r>
    </w:p>
    <w:p w14:paraId="5390E92A">
      <w:pPr>
        <w:adjustRightInd w:val="0"/>
        <w:snapToGrid w:val="0"/>
        <w:spacing w:line="360" w:lineRule="auto"/>
        <w:ind w:firstLine="525" w:firstLineChars="250"/>
        <w:rPr>
          <w:rFonts w:ascii="宋体" w:hAnsi="宋体"/>
          <w:szCs w:val="21"/>
        </w:rPr>
      </w:pPr>
      <w:r>
        <w:rPr>
          <w:rFonts w:hint="eastAsia" w:ascii="宋体" w:hAnsi="宋体"/>
          <w:szCs w:val="21"/>
        </w:rPr>
        <w:t>乙方指定（</w:t>
      </w:r>
      <w:r>
        <w:rPr>
          <w:rFonts w:hint="eastAsia" w:ascii="宋体" w:hAnsi="宋体"/>
          <w:szCs w:val="21"/>
          <w:u w:val="single"/>
        </w:rPr>
        <w:t xml:space="preserve">                      </w:t>
      </w:r>
      <w:r>
        <w:rPr>
          <w:rFonts w:hint="eastAsia" w:ascii="宋体" w:hAnsi="宋体"/>
          <w:szCs w:val="21"/>
        </w:rPr>
        <w:t>）为乙方项目联系人。</w:t>
      </w:r>
    </w:p>
    <w:p w14:paraId="0AF4AE5E">
      <w:pPr>
        <w:adjustRightInd w:val="0"/>
        <w:snapToGrid w:val="0"/>
        <w:spacing w:line="360" w:lineRule="auto"/>
        <w:ind w:firstLine="525" w:firstLineChars="250"/>
        <w:rPr>
          <w:rFonts w:ascii="宋体" w:hAnsi="宋体"/>
          <w:szCs w:val="21"/>
        </w:rPr>
      </w:pPr>
      <w:r>
        <w:rPr>
          <w:rFonts w:hint="eastAsia" w:ascii="宋体" w:hAnsi="宋体"/>
          <w:szCs w:val="21"/>
        </w:rPr>
        <w:t>一方变更项目联系人的，应当及时并以书面形式通知对方。未及时通知并影响本协议履行或造成损失的，未及时通知一方应承担相应的责任。</w:t>
      </w:r>
    </w:p>
    <w:p w14:paraId="067117B4">
      <w:pPr>
        <w:adjustRightInd w:val="0"/>
        <w:snapToGrid w:val="0"/>
        <w:spacing w:line="360" w:lineRule="auto"/>
        <w:ind w:firstLine="527" w:firstLineChars="250"/>
        <w:rPr>
          <w:rFonts w:ascii="宋体" w:hAnsi="宋体"/>
          <w:b/>
          <w:bCs/>
          <w:szCs w:val="21"/>
        </w:rPr>
      </w:pPr>
      <w:r>
        <w:rPr>
          <w:rFonts w:hint="eastAsia" w:ascii="宋体" w:hAnsi="宋体"/>
          <w:b/>
          <w:bCs/>
          <w:szCs w:val="21"/>
        </w:rPr>
        <w:t>八、协议终止</w:t>
      </w:r>
    </w:p>
    <w:p w14:paraId="5879C282">
      <w:pPr>
        <w:adjustRightInd w:val="0"/>
        <w:snapToGrid w:val="0"/>
        <w:spacing w:line="360" w:lineRule="auto"/>
        <w:ind w:firstLine="525" w:firstLineChars="250"/>
        <w:rPr>
          <w:rFonts w:ascii="宋体" w:hAnsi="宋体"/>
          <w:szCs w:val="21"/>
        </w:rPr>
      </w:pPr>
      <w:r>
        <w:rPr>
          <w:rFonts w:hint="eastAsia" w:ascii="宋体" w:hAnsi="宋体"/>
          <w:szCs w:val="21"/>
        </w:rPr>
        <w:t>如乙方在检测过程中出现以下情形，甲方有权终止合作：</w:t>
      </w:r>
    </w:p>
    <w:p w14:paraId="32B46593">
      <w:pPr>
        <w:adjustRightInd w:val="0"/>
        <w:snapToGrid w:val="0"/>
        <w:spacing w:line="360" w:lineRule="auto"/>
        <w:ind w:firstLine="525" w:firstLineChars="250"/>
        <w:rPr>
          <w:rFonts w:ascii="宋体" w:hAnsi="宋体"/>
          <w:szCs w:val="21"/>
        </w:rPr>
      </w:pPr>
      <w:r>
        <w:rPr>
          <w:rFonts w:hint="eastAsia" w:ascii="宋体" w:hAnsi="宋体"/>
          <w:szCs w:val="21"/>
        </w:rPr>
        <w:t>1.因包括但不限于操作不规范或不符合技术规范等原因，导致检测结果不准确，达</w:t>
      </w:r>
      <w:r>
        <w:rPr>
          <w:rFonts w:hint="eastAsia" w:ascii="宋体" w:hAnsi="宋体"/>
          <w:szCs w:val="21"/>
          <w:u w:val="single"/>
        </w:rPr>
        <w:t xml:space="preserve">    </w:t>
      </w:r>
      <w:r>
        <w:rPr>
          <w:rFonts w:hint="eastAsia" w:ascii="宋体" w:hAnsi="宋体"/>
          <w:szCs w:val="21"/>
        </w:rPr>
        <w:t>次</w:t>
      </w:r>
      <w:bookmarkStart w:id="44" w:name="_Hlk170207309"/>
      <w:r>
        <w:rPr>
          <w:rFonts w:hint="eastAsia" w:ascii="宋体" w:hAnsi="宋体"/>
          <w:szCs w:val="21"/>
        </w:rPr>
        <w:t>或  份</w:t>
      </w:r>
      <w:bookmarkEnd w:id="44"/>
      <w:r>
        <w:rPr>
          <w:rFonts w:hint="eastAsia" w:ascii="宋体" w:hAnsi="宋体"/>
          <w:szCs w:val="21"/>
        </w:rPr>
        <w:t>。</w:t>
      </w:r>
    </w:p>
    <w:p w14:paraId="1BF1581A">
      <w:pPr>
        <w:adjustRightInd w:val="0"/>
        <w:snapToGrid w:val="0"/>
        <w:spacing w:line="360" w:lineRule="auto"/>
        <w:ind w:firstLine="525" w:firstLineChars="250"/>
        <w:rPr>
          <w:rFonts w:ascii="宋体" w:hAnsi="宋体"/>
          <w:szCs w:val="21"/>
        </w:rPr>
      </w:pPr>
      <w:r>
        <w:rPr>
          <w:rFonts w:hint="eastAsia" w:ascii="宋体" w:hAnsi="宋体"/>
          <w:szCs w:val="21"/>
        </w:rPr>
        <w:t>2.未能按照合同约定的时间和质量要求完成检测，不能及时提供检测结果达  次或</w:t>
      </w:r>
      <w:r>
        <w:rPr>
          <w:rFonts w:hint="eastAsia" w:ascii="宋体" w:hAnsi="宋体"/>
          <w:szCs w:val="21"/>
          <w:u w:val="single"/>
        </w:rPr>
        <w:t xml:space="preserve">       </w:t>
      </w:r>
      <w:r>
        <w:rPr>
          <w:rFonts w:hint="eastAsia" w:ascii="宋体" w:hAnsi="宋体"/>
          <w:szCs w:val="21"/>
        </w:rPr>
        <w:t>份，不可抗力除外。</w:t>
      </w:r>
    </w:p>
    <w:p w14:paraId="09191855">
      <w:pPr>
        <w:adjustRightInd w:val="0"/>
        <w:snapToGrid w:val="0"/>
        <w:spacing w:line="360" w:lineRule="auto"/>
        <w:ind w:firstLine="525" w:firstLineChars="250"/>
        <w:rPr>
          <w:rFonts w:ascii="宋体" w:hAnsi="宋体"/>
          <w:szCs w:val="21"/>
        </w:rPr>
      </w:pPr>
      <w:r>
        <w:rPr>
          <w:rFonts w:hint="eastAsia" w:ascii="宋体" w:hAnsi="宋体"/>
          <w:szCs w:val="21"/>
        </w:rPr>
        <w:t>3.实验室不诚信，出现欺诈行为，包括但不限于篡改室内质控数据、受检者检验数据等。</w:t>
      </w:r>
    </w:p>
    <w:p w14:paraId="7215280E">
      <w:pPr>
        <w:adjustRightInd w:val="0"/>
        <w:snapToGrid w:val="0"/>
        <w:spacing w:line="360" w:lineRule="auto"/>
        <w:ind w:firstLine="525" w:firstLineChars="250"/>
        <w:rPr>
          <w:rFonts w:ascii="宋体" w:hAnsi="宋体"/>
          <w:szCs w:val="21"/>
        </w:rPr>
      </w:pPr>
      <w:r>
        <w:rPr>
          <w:rFonts w:hint="eastAsia" w:ascii="宋体" w:hAnsi="宋体"/>
          <w:szCs w:val="21"/>
        </w:rPr>
        <w:t>4.实验室管理不善，出现生物安全隐患。</w:t>
      </w:r>
    </w:p>
    <w:p w14:paraId="29315197">
      <w:pPr>
        <w:adjustRightInd w:val="0"/>
        <w:snapToGrid w:val="0"/>
        <w:spacing w:line="360" w:lineRule="auto"/>
        <w:ind w:firstLine="525" w:firstLineChars="250"/>
        <w:rPr>
          <w:rFonts w:ascii="宋体" w:hAnsi="宋体"/>
          <w:szCs w:val="21"/>
        </w:rPr>
      </w:pPr>
      <w:r>
        <w:rPr>
          <w:rFonts w:hint="eastAsia" w:ascii="宋体" w:hAnsi="宋体"/>
          <w:szCs w:val="21"/>
        </w:rPr>
        <w:t>5.发现乙方有泄露受检者信息造成不良后果或者泄露信息的情形。</w:t>
      </w:r>
    </w:p>
    <w:p w14:paraId="3F6A7DE7">
      <w:pPr>
        <w:adjustRightInd w:val="0"/>
        <w:snapToGrid w:val="0"/>
        <w:spacing w:line="360" w:lineRule="auto"/>
        <w:ind w:firstLine="525" w:firstLineChars="250"/>
        <w:rPr>
          <w:rFonts w:ascii="宋体" w:hAnsi="宋体"/>
          <w:szCs w:val="21"/>
        </w:rPr>
      </w:pPr>
      <w:r>
        <w:rPr>
          <w:rFonts w:hint="eastAsia" w:ascii="宋体" w:hAnsi="宋体"/>
          <w:szCs w:val="21"/>
        </w:rPr>
        <w:t>6.发现乙方有转包、分包检测的情形。</w:t>
      </w:r>
    </w:p>
    <w:p w14:paraId="5FC2CC12">
      <w:pPr>
        <w:adjustRightInd w:val="0"/>
        <w:snapToGrid w:val="0"/>
        <w:spacing w:line="360" w:lineRule="auto"/>
        <w:ind w:firstLine="525" w:firstLineChars="250"/>
        <w:rPr>
          <w:rFonts w:ascii="宋体" w:hAnsi="宋体"/>
          <w:szCs w:val="21"/>
        </w:rPr>
      </w:pPr>
      <w:r>
        <w:rPr>
          <w:rFonts w:hint="eastAsia" w:ascii="宋体" w:hAnsi="宋体"/>
          <w:szCs w:val="21"/>
        </w:rPr>
        <w:t>7.发生其他违反有关法律法规规定的情形。</w:t>
      </w:r>
    </w:p>
    <w:p w14:paraId="3FB6CFAC">
      <w:pPr>
        <w:adjustRightInd w:val="0"/>
        <w:snapToGrid w:val="0"/>
        <w:spacing w:line="360" w:lineRule="auto"/>
        <w:ind w:firstLine="527" w:firstLineChars="250"/>
        <w:rPr>
          <w:rFonts w:ascii="宋体" w:hAnsi="宋体"/>
          <w:szCs w:val="21"/>
        </w:rPr>
      </w:pPr>
      <w:r>
        <w:rPr>
          <w:rFonts w:hint="eastAsia" w:ascii="宋体" w:hAnsi="宋体"/>
          <w:b/>
          <w:bCs/>
          <w:szCs w:val="21"/>
        </w:rPr>
        <w:t>九、廉洁条款</w:t>
      </w:r>
    </w:p>
    <w:p w14:paraId="7D8CDAB6">
      <w:pPr>
        <w:adjustRightInd w:val="0"/>
        <w:snapToGrid w:val="0"/>
        <w:spacing w:line="360" w:lineRule="auto"/>
        <w:ind w:firstLine="525" w:firstLineChars="250"/>
        <w:rPr>
          <w:rFonts w:ascii="宋体" w:hAnsi="宋体"/>
          <w:szCs w:val="21"/>
        </w:rPr>
      </w:pPr>
      <w:r>
        <w:rPr>
          <w:rFonts w:hint="eastAsia" w:ascii="宋体" w:hAnsi="宋体"/>
          <w:szCs w:val="21"/>
        </w:rPr>
        <w:t>为进一步加强医疗卫生行风建设，规范医疗卫生机构购销行为，有效防范商业贿赂行为，营造公平交易、诚实守信的购销环境，特约定以下廉洁条款，以资合同各方共同遵守：</w:t>
      </w:r>
    </w:p>
    <w:p w14:paraId="2649BEAD">
      <w:pPr>
        <w:adjustRightInd w:val="0"/>
        <w:snapToGrid w:val="0"/>
        <w:spacing w:line="360" w:lineRule="auto"/>
        <w:ind w:firstLine="525" w:firstLineChars="250"/>
        <w:rPr>
          <w:rFonts w:ascii="宋体" w:hAnsi="宋体"/>
          <w:szCs w:val="21"/>
        </w:rPr>
      </w:pPr>
      <w:r>
        <w:rPr>
          <w:rFonts w:hint="eastAsia" w:ascii="宋体" w:hAnsi="宋体"/>
          <w:szCs w:val="21"/>
        </w:rPr>
        <w:t>1.合同各方按照《民法典》及廉洁条款约定履行。</w:t>
      </w:r>
    </w:p>
    <w:p w14:paraId="064BA462">
      <w:pPr>
        <w:adjustRightInd w:val="0"/>
        <w:snapToGrid w:val="0"/>
        <w:spacing w:line="360" w:lineRule="auto"/>
        <w:ind w:firstLine="525" w:firstLineChars="250"/>
        <w:rPr>
          <w:rFonts w:ascii="宋体" w:hAnsi="宋体"/>
          <w:szCs w:val="21"/>
        </w:rPr>
      </w:pPr>
      <w:r>
        <w:rPr>
          <w:rFonts w:hint="eastAsia" w:ascii="宋体" w:hAnsi="宋体"/>
          <w:szCs w:val="21"/>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6BA511AE">
      <w:pPr>
        <w:adjustRightInd w:val="0"/>
        <w:snapToGrid w:val="0"/>
        <w:spacing w:line="360" w:lineRule="auto"/>
        <w:ind w:firstLine="525" w:firstLineChars="250"/>
        <w:rPr>
          <w:rFonts w:ascii="宋体" w:hAnsi="宋体"/>
          <w:szCs w:val="21"/>
        </w:rPr>
      </w:pPr>
      <w:r>
        <w:rPr>
          <w:rFonts w:hint="eastAsia" w:ascii="宋体" w:hAnsi="宋体"/>
          <w:szCs w:val="21"/>
        </w:rPr>
        <w:t>3.甲方严禁利用任何途径和方式，为乙方统计医师个人及临床科室有关产品用量信息，或为乙方统计提供便利。</w:t>
      </w:r>
    </w:p>
    <w:p w14:paraId="1885450E">
      <w:pPr>
        <w:adjustRightInd w:val="0"/>
        <w:snapToGrid w:val="0"/>
        <w:spacing w:line="360" w:lineRule="auto"/>
        <w:ind w:firstLine="525" w:firstLineChars="250"/>
        <w:rPr>
          <w:rFonts w:ascii="宋体" w:hAnsi="宋体"/>
          <w:szCs w:val="21"/>
        </w:rPr>
      </w:pPr>
      <w:r>
        <w:rPr>
          <w:rFonts w:hint="eastAsia" w:ascii="宋体" w:hAnsi="宋体"/>
          <w:szCs w:val="21"/>
        </w:rPr>
        <w:t>4.乙方不得以回扣、宴请等方式影响甲方工作人员采购或使用产品的选择权，不得在学术活动中提供旅游、超标准支付食宿费用。</w:t>
      </w:r>
    </w:p>
    <w:p w14:paraId="0DD8EF81">
      <w:pPr>
        <w:adjustRightInd w:val="0"/>
        <w:snapToGrid w:val="0"/>
        <w:spacing w:line="360" w:lineRule="auto"/>
        <w:ind w:firstLine="525" w:firstLineChars="250"/>
        <w:rPr>
          <w:rFonts w:ascii="宋体" w:hAnsi="宋体"/>
          <w:szCs w:val="21"/>
        </w:rPr>
      </w:pPr>
      <w:r>
        <w:rPr>
          <w:rFonts w:hint="eastAsia" w:ascii="宋体" w:hAnsi="宋体"/>
          <w:szCs w:val="21"/>
        </w:rPr>
        <w:t>5.乙方指定销售代表必须在工作时间到甲方指定地点联系商谈，不得到住院部、门诊部、医技科室等推销，不得借故到甲方相关领导、部门负责人及相关工作人员非办公场所访谈并提供任何好处费等。</w:t>
      </w:r>
    </w:p>
    <w:p w14:paraId="1665FC8E">
      <w:pPr>
        <w:adjustRightInd w:val="0"/>
        <w:snapToGrid w:val="0"/>
        <w:spacing w:line="360" w:lineRule="auto"/>
        <w:ind w:firstLine="525" w:firstLineChars="250"/>
        <w:rPr>
          <w:rFonts w:ascii="宋体" w:hAnsi="宋体"/>
          <w:szCs w:val="21"/>
        </w:rPr>
      </w:pPr>
      <w:r>
        <w:rPr>
          <w:rFonts w:hint="eastAsia" w:ascii="宋体" w:hAnsi="宋体"/>
          <w:szCs w:val="21"/>
        </w:rPr>
        <w:t>6.乙方承诺其公司法定代表人、实际控制人或者股东中无甲方</w:t>
      </w:r>
      <w:r>
        <w:rPr>
          <w:rFonts w:hint="eastAsia" w:ascii="宋体" w:hAnsi="宋体"/>
          <w:szCs w:val="21"/>
          <w:u w:val="single"/>
        </w:rPr>
        <w:t xml:space="preserve">   </w:t>
      </w:r>
      <w:r>
        <w:rPr>
          <w:rFonts w:hint="eastAsia" w:ascii="宋体" w:hAnsi="宋体"/>
          <w:szCs w:val="21"/>
        </w:rPr>
        <w:t>级以上干部，且无医院</w:t>
      </w:r>
      <w:r>
        <w:rPr>
          <w:rFonts w:hint="eastAsia" w:ascii="宋体" w:hAnsi="宋体"/>
          <w:szCs w:val="21"/>
          <w:u w:val="single"/>
        </w:rPr>
        <w:t xml:space="preserve">   </w:t>
      </w:r>
      <w:r>
        <w:rPr>
          <w:rFonts w:hint="eastAsia" w:ascii="宋体" w:hAnsi="宋体"/>
          <w:szCs w:val="21"/>
        </w:rPr>
        <w:t>级以上干部配偶、子女、子女配偶、子女配偶的父母，或者与其同城生活来往密切、有借贷关系或照护关系的亲属等。</w:t>
      </w:r>
    </w:p>
    <w:p w14:paraId="7AB281FF">
      <w:pPr>
        <w:adjustRightInd w:val="0"/>
        <w:snapToGrid w:val="0"/>
        <w:spacing w:line="360" w:lineRule="auto"/>
        <w:ind w:firstLine="525" w:firstLineChars="250"/>
        <w:rPr>
          <w:rFonts w:ascii="宋体" w:hAnsi="宋体"/>
          <w:szCs w:val="21"/>
        </w:rPr>
      </w:pPr>
      <w:r>
        <w:rPr>
          <w:rFonts w:hint="eastAsia" w:ascii="宋体" w:hAnsi="宋体"/>
          <w:szCs w:val="21"/>
        </w:rPr>
        <w:t>7乙方如违反本廉洁条款，一经发现，甲方有权终止本合同，并向上级主管部门报告。如乙方被列入商业贿赂不良记录，则严格按照国家相关规定处理。</w:t>
      </w:r>
    </w:p>
    <w:p w14:paraId="1B4464D3">
      <w:pPr>
        <w:adjustRightInd w:val="0"/>
        <w:snapToGrid w:val="0"/>
        <w:spacing w:line="360" w:lineRule="auto"/>
        <w:ind w:firstLine="525" w:firstLineChars="250"/>
        <w:rPr>
          <w:rFonts w:ascii="宋体" w:hAnsi="宋体"/>
          <w:szCs w:val="21"/>
        </w:rPr>
      </w:pPr>
      <w:r>
        <w:rPr>
          <w:rFonts w:hint="eastAsia" w:ascii="宋体" w:hAnsi="宋体"/>
          <w:szCs w:val="21"/>
        </w:rPr>
        <w:t>8.本廉洁条款在合同履行过程中，合同各方均需严格遵守。</w:t>
      </w:r>
    </w:p>
    <w:p w14:paraId="5D4D0FF8">
      <w:pPr>
        <w:adjustRightInd w:val="0"/>
        <w:snapToGrid w:val="0"/>
        <w:spacing w:line="360" w:lineRule="auto"/>
        <w:ind w:firstLine="527" w:firstLineChars="250"/>
        <w:rPr>
          <w:rFonts w:ascii="宋体" w:hAnsi="宋体"/>
          <w:b/>
          <w:bCs/>
          <w:szCs w:val="21"/>
        </w:rPr>
      </w:pPr>
      <w:r>
        <w:rPr>
          <w:rFonts w:hint="eastAsia" w:ascii="宋体" w:hAnsi="宋体"/>
          <w:b/>
          <w:bCs/>
          <w:szCs w:val="21"/>
        </w:rPr>
        <w:t>十、争议解决与文件送达</w:t>
      </w:r>
    </w:p>
    <w:p w14:paraId="3E48BE27">
      <w:pPr>
        <w:adjustRightInd w:val="0"/>
        <w:snapToGrid w:val="0"/>
        <w:spacing w:line="360" w:lineRule="auto"/>
        <w:ind w:firstLine="525" w:firstLineChars="250"/>
        <w:rPr>
          <w:rFonts w:ascii="宋体" w:hAnsi="宋体"/>
          <w:szCs w:val="21"/>
        </w:rPr>
      </w:pPr>
      <w:r>
        <w:rPr>
          <w:rFonts w:hint="eastAsia" w:ascii="宋体" w:hAnsi="宋体"/>
          <w:szCs w:val="21"/>
        </w:rPr>
        <w:t>（一）双方因履行本合同发生争议，应首先通过友好协商解决；协商不成时，可以选择以下第  种途径解决：</w:t>
      </w:r>
    </w:p>
    <w:p w14:paraId="70F79FC6">
      <w:pPr>
        <w:adjustRightInd w:val="0"/>
        <w:snapToGrid w:val="0"/>
        <w:spacing w:line="360" w:lineRule="auto"/>
        <w:ind w:firstLine="525" w:firstLineChars="250"/>
        <w:rPr>
          <w:rFonts w:ascii="宋体" w:hAnsi="宋体"/>
          <w:szCs w:val="21"/>
        </w:rPr>
      </w:pPr>
      <w:r>
        <w:rPr>
          <w:rFonts w:hint="eastAsia" w:ascii="宋体" w:hAnsi="宋体"/>
          <w:szCs w:val="21"/>
        </w:rPr>
        <w:t>1.提交</w:t>
      </w:r>
      <w:r>
        <w:rPr>
          <w:rFonts w:hint="eastAsia" w:ascii="宋体" w:hAnsi="宋体"/>
          <w:szCs w:val="21"/>
          <w:u w:val="single"/>
        </w:rPr>
        <w:t xml:space="preserve">     </w:t>
      </w:r>
      <w:r>
        <w:rPr>
          <w:rFonts w:hint="eastAsia" w:ascii="宋体" w:hAnsi="宋体"/>
          <w:szCs w:val="21"/>
        </w:rPr>
        <w:t>方住所地人民法院裁决。</w:t>
      </w:r>
    </w:p>
    <w:p w14:paraId="3D832E3C">
      <w:pPr>
        <w:adjustRightInd w:val="0"/>
        <w:snapToGrid w:val="0"/>
        <w:spacing w:line="360" w:lineRule="auto"/>
        <w:ind w:firstLine="525" w:firstLineChars="250"/>
        <w:rPr>
          <w:rFonts w:ascii="宋体" w:hAnsi="宋体"/>
          <w:szCs w:val="21"/>
        </w:rPr>
      </w:pPr>
      <w:r>
        <w:rPr>
          <w:rFonts w:hint="eastAsia" w:ascii="宋体" w:hAnsi="宋体"/>
          <w:szCs w:val="21"/>
        </w:rPr>
        <w:t>2.提交</w:t>
      </w:r>
      <w:r>
        <w:rPr>
          <w:rFonts w:hint="eastAsia" w:ascii="宋体" w:hAnsi="宋体"/>
          <w:szCs w:val="21"/>
          <w:u w:val="single"/>
        </w:rPr>
        <w:t xml:space="preserve">     </w:t>
      </w:r>
      <w:r>
        <w:rPr>
          <w:rFonts w:hint="eastAsia" w:ascii="宋体" w:hAnsi="宋体"/>
          <w:szCs w:val="21"/>
        </w:rPr>
        <w:t>仲裁委员会裁决。</w:t>
      </w:r>
    </w:p>
    <w:p w14:paraId="34EAD56A">
      <w:pPr>
        <w:adjustRightInd w:val="0"/>
        <w:snapToGrid w:val="0"/>
        <w:spacing w:line="360" w:lineRule="auto"/>
        <w:ind w:firstLine="525" w:firstLineChars="250"/>
        <w:rPr>
          <w:rFonts w:ascii="宋体" w:hAnsi="宋体"/>
          <w:szCs w:val="21"/>
        </w:rPr>
      </w:pPr>
      <w:r>
        <w:rPr>
          <w:rFonts w:hint="eastAsia" w:ascii="宋体" w:hAnsi="宋体"/>
          <w:szCs w:val="21"/>
        </w:rPr>
        <w:t>（二）双方确认本合同载明的通讯地址可作为合同履行过程中相关文书、诉讼文书的送达地址，因载明的地址有误或未及时告知变更后的地址，导致相关文书及诉讼文书没能实际送达的，相关文书及诉讼文书退回之日即视为送达之日；因一方拒收的，相关文书及诉讼文书退回之日即视为送达之日。</w:t>
      </w:r>
    </w:p>
    <w:p w14:paraId="0C9F6261">
      <w:pPr>
        <w:adjustRightInd w:val="0"/>
        <w:snapToGrid w:val="0"/>
        <w:spacing w:line="360" w:lineRule="auto"/>
        <w:ind w:firstLine="525" w:firstLineChars="250"/>
        <w:rPr>
          <w:rFonts w:ascii="宋体" w:hAnsi="宋体"/>
          <w:szCs w:val="21"/>
        </w:rPr>
      </w:pPr>
      <w:r>
        <w:rPr>
          <w:rFonts w:hint="eastAsia" w:ascii="宋体" w:hAnsi="宋体"/>
          <w:szCs w:val="21"/>
        </w:rPr>
        <w:t>十一、其他</w:t>
      </w:r>
    </w:p>
    <w:p w14:paraId="3AD178DF">
      <w:pPr>
        <w:adjustRightInd w:val="0"/>
        <w:snapToGrid w:val="0"/>
        <w:spacing w:line="360" w:lineRule="auto"/>
        <w:ind w:firstLine="525" w:firstLineChars="250"/>
        <w:rPr>
          <w:rFonts w:ascii="宋体" w:hAnsi="宋体"/>
          <w:szCs w:val="21"/>
        </w:rPr>
      </w:pPr>
      <w:r>
        <w:rPr>
          <w:rFonts w:hint="eastAsia" w:ascii="宋体" w:hAnsi="宋体"/>
          <w:szCs w:val="21"/>
        </w:rPr>
        <w:t>（一）本协议经双方签字盖章后生效，合作期限自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日止，合作期限为</w:t>
      </w:r>
      <w:r>
        <w:rPr>
          <w:rFonts w:hint="eastAsia" w:ascii="宋体" w:hAnsi="宋体"/>
          <w:szCs w:val="21"/>
          <w:u w:val="single"/>
        </w:rPr>
        <w:t xml:space="preserve">  </w:t>
      </w:r>
      <w:r>
        <w:rPr>
          <w:rFonts w:hint="eastAsia" w:ascii="宋体" w:hAnsi="宋体"/>
          <w:szCs w:val="21"/>
        </w:rPr>
        <w:t>年。合作期满，本协议自动失效。</w:t>
      </w:r>
    </w:p>
    <w:p w14:paraId="4739807F">
      <w:pPr>
        <w:adjustRightInd w:val="0"/>
        <w:snapToGrid w:val="0"/>
        <w:spacing w:line="360" w:lineRule="auto"/>
        <w:ind w:firstLine="525" w:firstLineChars="250"/>
        <w:rPr>
          <w:rFonts w:ascii="宋体" w:hAnsi="宋体"/>
          <w:szCs w:val="21"/>
        </w:rPr>
      </w:pPr>
      <w:r>
        <w:rPr>
          <w:rFonts w:hint="eastAsia" w:ascii="宋体" w:hAnsi="宋体"/>
          <w:szCs w:val="21"/>
        </w:rPr>
        <w:t>（二）本协议一式陆份，甲乙双方各持叁份，具有同等法律效力。未尽事宜，另行签订补充协议，补充协议与本协议不一致的，以补充协议为准。</w:t>
      </w:r>
    </w:p>
    <w:p w14:paraId="10572A95">
      <w:pPr>
        <w:adjustRightInd w:val="0"/>
        <w:snapToGrid w:val="0"/>
        <w:spacing w:line="360" w:lineRule="auto"/>
        <w:ind w:firstLine="525" w:firstLineChars="250"/>
        <w:rPr>
          <w:rFonts w:ascii="宋体" w:hAnsi="宋体"/>
          <w:szCs w:val="21"/>
        </w:rPr>
      </w:pPr>
      <w:r>
        <w:rPr>
          <w:rFonts w:hint="eastAsia" w:ascii="宋体" w:hAnsi="宋体"/>
          <w:szCs w:val="21"/>
        </w:rPr>
        <w:t>（以下无正文）</w:t>
      </w:r>
    </w:p>
    <w:p w14:paraId="08363B96">
      <w:pPr>
        <w:adjustRightInd w:val="0"/>
        <w:snapToGrid w:val="0"/>
        <w:spacing w:line="360" w:lineRule="auto"/>
        <w:ind w:firstLine="525" w:firstLineChars="250"/>
        <w:rPr>
          <w:rFonts w:ascii="宋体" w:hAnsi="宋体"/>
          <w:szCs w:val="21"/>
        </w:rPr>
      </w:pPr>
    </w:p>
    <w:p w14:paraId="11CA6FD2">
      <w:pPr>
        <w:adjustRightInd w:val="0"/>
        <w:snapToGrid w:val="0"/>
        <w:spacing w:line="360" w:lineRule="auto"/>
        <w:ind w:firstLine="525" w:firstLineChars="250"/>
        <w:rPr>
          <w:rFonts w:ascii="宋体" w:hAnsi="宋体"/>
          <w:szCs w:val="21"/>
        </w:rPr>
      </w:pPr>
      <w:r>
        <w:rPr>
          <w:rFonts w:hint="eastAsia" w:ascii="宋体" w:hAnsi="宋体"/>
          <w:szCs w:val="21"/>
        </w:rPr>
        <w:t xml:space="preserve">甲方（盖章）：               乙方（盖章）：          </w:t>
      </w:r>
    </w:p>
    <w:p w14:paraId="457EA7E4">
      <w:pPr>
        <w:adjustRightInd w:val="0"/>
        <w:snapToGrid w:val="0"/>
        <w:spacing w:line="360" w:lineRule="auto"/>
        <w:ind w:firstLine="525" w:firstLineChars="250"/>
        <w:rPr>
          <w:rFonts w:ascii="宋体" w:hAnsi="宋体"/>
          <w:szCs w:val="21"/>
        </w:rPr>
      </w:pPr>
      <w:r>
        <w:rPr>
          <w:rFonts w:hint="eastAsia" w:ascii="宋体" w:hAnsi="宋体"/>
          <w:szCs w:val="21"/>
        </w:rPr>
        <w:t xml:space="preserve">法人代表（委托人）：         法人代表（委托人）：              </w:t>
      </w:r>
    </w:p>
    <w:p w14:paraId="15E2EB10">
      <w:pPr>
        <w:adjustRightInd w:val="0"/>
        <w:snapToGrid w:val="0"/>
        <w:spacing w:line="360" w:lineRule="auto"/>
        <w:ind w:firstLine="525" w:firstLineChars="250"/>
        <w:rPr>
          <w:rFonts w:ascii="宋体" w:hAnsi="宋体"/>
          <w:szCs w:val="21"/>
        </w:rPr>
      </w:pPr>
      <w:r>
        <w:rPr>
          <w:rFonts w:hint="eastAsia" w:ascii="宋体" w:hAnsi="宋体"/>
          <w:szCs w:val="21"/>
        </w:rPr>
        <w:t xml:space="preserve">经办人：                     经办人：            </w:t>
      </w:r>
    </w:p>
    <w:p w14:paraId="6E8C4304">
      <w:pPr>
        <w:adjustRightInd w:val="0"/>
        <w:snapToGrid w:val="0"/>
        <w:spacing w:line="360" w:lineRule="auto"/>
        <w:ind w:firstLine="525" w:firstLineChars="250"/>
        <w:rPr>
          <w:rFonts w:ascii="宋体" w:hAnsi="宋体"/>
          <w:szCs w:val="21"/>
        </w:rPr>
      </w:pPr>
      <w:r>
        <w:rPr>
          <w:rFonts w:hint="eastAsia" w:ascii="宋体" w:hAnsi="宋体"/>
          <w:szCs w:val="21"/>
        </w:rPr>
        <w:t>签订日期：                   签订日期：</w:t>
      </w:r>
    </w:p>
    <w:p w14:paraId="7E9960A2">
      <w:pPr>
        <w:spacing w:line="420" w:lineRule="exact"/>
        <w:jc w:val="center"/>
        <w:rPr>
          <w:rFonts w:ascii="宋体" w:hAnsi="宋体"/>
          <w:color w:val="000000" w:themeColor="text1"/>
          <w:sz w:val="24"/>
        </w:rPr>
      </w:pPr>
    </w:p>
    <w:p w14:paraId="166787E0">
      <w:pPr>
        <w:spacing w:line="420" w:lineRule="exact"/>
        <w:jc w:val="center"/>
        <w:rPr>
          <w:rFonts w:ascii="黑体" w:eastAsia="黑体"/>
          <w:b/>
          <w:color w:val="000000" w:themeColor="text1"/>
          <w:sz w:val="28"/>
          <w:szCs w:val="28"/>
        </w:rPr>
      </w:pPr>
    </w:p>
    <w:p w14:paraId="5064C40B">
      <w:pPr>
        <w:spacing w:line="420" w:lineRule="exact"/>
        <w:rPr>
          <w:rFonts w:ascii="宋体" w:hAnsi="宋体"/>
          <w:color w:val="000000" w:themeColor="text1"/>
          <w:sz w:val="24"/>
        </w:rPr>
      </w:pPr>
    </w:p>
    <w:p w14:paraId="1FBC2DE5">
      <w:pPr>
        <w:pStyle w:val="29"/>
        <w:shd w:val="clear" w:color="auto" w:fill="FFFFFF"/>
        <w:spacing w:before="0" w:beforeAutospacing="0" w:after="0" w:afterAutospacing="0" w:line="360" w:lineRule="auto"/>
        <w:ind w:firstLine="426"/>
        <w:rPr>
          <w:rFonts w:cs="Arial"/>
          <w:color w:val="000000" w:themeColor="text1"/>
          <w:sz w:val="21"/>
          <w:szCs w:val="21"/>
        </w:rPr>
      </w:pPr>
    </w:p>
    <w:p w14:paraId="4C1F7844">
      <w:pPr>
        <w:pStyle w:val="2"/>
        <w:spacing w:before="0" w:after="0" w:line="360" w:lineRule="auto"/>
        <w:jc w:val="center"/>
        <w:rPr>
          <w:color w:val="000000" w:themeColor="text1"/>
        </w:rPr>
      </w:pPr>
      <w:r>
        <w:rPr>
          <w:color w:val="000000" w:themeColor="text1"/>
        </w:rPr>
        <w:br w:type="page"/>
      </w:r>
      <w:bookmarkStart w:id="45" w:name="_Toc168582609"/>
      <w:bookmarkStart w:id="46" w:name="_Toc132309532"/>
      <w:r>
        <w:rPr>
          <w:rFonts w:hint="eastAsia"/>
          <w:color w:val="000000" w:themeColor="text1"/>
          <w:sz w:val="36"/>
          <w:szCs w:val="36"/>
        </w:rPr>
        <w:t>第六章  响应文件格式</w:t>
      </w:r>
      <w:bookmarkEnd w:id="45"/>
      <w:bookmarkEnd w:id="46"/>
    </w:p>
    <w:p w14:paraId="5F216798">
      <w:pPr>
        <w:spacing w:line="360" w:lineRule="auto"/>
        <w:rPr>
          <w:color w:val="000000" w:themeColor="text1"/>
        </w:rPr>
      </w:pPr>
    </w:p>
    <w:p w14:paraId="2C24AE6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350B70DF">
      <w:pPr>
        <w:spacing w:line="360" w:lineRule="auto"/>
        <w:jc w:val="center"/>
        <w:rPr>
          <w:rFonts w:ascii="宋体" w:hAnsi="宋体"/>
          <w:b/>
          <w:bCs/>
          <w:color w:val="000000" w:themeColor="text1"/>
          <w:sz w:val="72"/>
          <w:szCs w:val="72"/>
        </w:rPr>
      </w:pPr>
    </w:p>
    <w:p w14:paraId="2C57EF8E">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0C2365E2">
      <w:pPr>
        <w:spacing w:line="360" w:lineRule="auto"/>
        <w:jc w:val="center"/>
        <w:rPr>
          <w:rFonts w:ascii="宋体" w:hAnsi="宋体"/>
          <w:b/>
          <w:bCs/>
          <w:color w:val="000000" w:themeColor="text1"/>
          <w:sz w:val="36"/>
          <w:szCs w:val="36"/>
        </w:rPr>
      </w:pPr>
    </w:p>
    <w:p w14:paraId="3459FFD1">
      <w:pPr>
        <w:spacing w:line="360" w:lineRule="auto"/>
        <w:jc w:val="center"/>
        <w:rPr>
          <w:rFonts w:ascii="宋体" w:hAnsi="宋体"/>
          <w:b/>
          <w:bCs/>
          <w:color w:val="000000" w:themeColor="text1"/>
          <w:sz w:val="36"/>
          <w:szCs w:val="36"/>
        </w:rPr>
      </w:pPr>
    </w:p>
    <w:p w14:paraId="4B6E95D7">
      <w:pPr>
        <w:spacing w:line="360" w:lineRule="auto"/>
        <w:jc w:val="center"/>
        <w:rPr>
          <w:rFonts w:ascii="宋体" w:hAnsi="宋体"/>
          <w:b/>
          <w:bCs/>
          <w:color w:val="000000" w:themeColor="text1"/>
          <w:sz w:val="36"/>
          <w:szCs w:val="36"/>
        </w:rPr>
      </w:pPr>
    </w:p>
    <w:p w14:paraId="27E1B815">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14BFECA2">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110470AC">
      <w:pPr>
        <w:spacing w:line="360" w:lineRule="auto"/>
        <w:rPr>
          <w:rFonts w:ascii="宋体" w:hAnsi="宋体"/>
          <w:b/>
          <w:bCs/>
          <w:color w:val="000000" w:themeColor="text1"/>
          <w:sz w:val="36"/>
          <w:szCs w:val="36"/>
        </w:rPr>
      </w:pPr>
    </w:p>
    <w:p w14:paraId="55662E9B">
      <w:pPr>
        <w:spacing w:line="360" w:lineRule="auto"/>
        <w:rPr>
          <w:rFonts w:ascii="宋体" w:hAnsi="宋体"/>
          <w:b/>
          <w:bCs/>
          <w:color w:val="000000" w:themeColor="text1"/>
          <w:sz w:val="36"/>
          <w:szCs w:val="36"/>
        </w:rPr>
      </w:pPr>
    </w:p>
    <w:p w14:paraId="5B20D6D9">
      <w:pPr>
        <w:spacing w:line="360" w:lineRule="auto"/>
        <w:rPr>
          <w:rFonts w:ascii="宋体" w:hAnsi="宋体"/>
          <w:b/>
          <w:bCs/>
          <w:color w:val="000000" w:themeColor="text1"/>
          <w:sz w:val="36"/>
          <w:szCs w:val="36"/>
        </w:rPr>
      </w:pPr>
    </w:p>
    <w:p w14:paraId="72E69C7D">
      <w:pPr>
        <w:spacing w:line="360" w:lineRule="auto"/>
        <w:rPr>
          <w:rFonts w:ascii="宋体" w:hAnsi="宋体"/>
          <w:b/>
          <w:bCs/>
          <w:color w:val="000000" w:themeColor="text1"/>
          <w:sz w:val="36"/>
          <w:szCs w:val="36"/>
        </w:rPr>
      </w:pPr>
    </w:p>
    <w:p w14:paraId="74D0E25C">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421355C3">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38C9D3BC">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3CDE7D51">
      <w:pPr>
        <w:spacing w:line="360" w:lineRule="auto"/>
        <w:rPr>
          <w:rFonts w:ascii="宋体" w:hAnsi="宋体" w:cs="黑体"/>
          <w:b/>
          <w:bCs/>
          <w:color w:val="000000" w:themeColor="text1"/>
          <w:spacing w:val="2"/>
          <w:sz w:val="36"/>
          <w:szCs w:val="36"/>
        </w:rPr>
      </w:pPr>
    </w:p>
    <w:p w14:paraId="20EAAF79">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5C4CF957">
      <w:pPr>
        <w:spacing w:line="360" w:lineRule="auto"/>
        <w:rPr>
          <w:rFonts w:ascii="黑体" w:hAnsi="黑体" w:eastAsia="黑体"/>
          <w:color w:val="000000" w:themeColor="text1"/>
          <w:sz w:val="24"/>
        </w:rPr>
      </w:pPr>
    </w:p>
    <w:p w14:paraId="3AFFFA0B">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E1A4A4B">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r>
        <w:rPr>
          <w:rFonts w:hint="eastAsia" w:ascii="黑体" w:hAnsi="黑体" w:eastAsia="黑体"/>
          <w:color w:val="000000" w:themeColor="text1"/>
          <w:szCs w:val="21"/>
        </w:rPr>
        <w:t>............................................</w:t>
      </w:r>
    </w:p>
    <w:p w14:paraId="581D813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77C8A23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r>
        <w:rPr>
          <w:rFonts w:hint="eastAsia" w:ascii="黑体" w:hAnsi="黑体" w:eastAsia="黑体"/>
          <w:color w:val="000000" w:themeColor="text1"/>
          <w:szCs w:val="21"/>
        </w:rPr>
        <w:t>...........................................................</w:t>
      </w:r>
    </w:p>
    <w:p w14:paraId="777E1F5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45A81A5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r>
        <w:rPr>
          <w:rFonts w:hint="eastAsia" w:ascii="黑体" w:hAnsi="黑体" w:eastAsia="黑体"/>
          <w:color w:val="000000" w:themeColor="text1"/>
          <w:szCs w:val="21"/>
        </w:rPr>
        <w:t>.........................................</w:t>
      </w:r>
    </w:p>
    <w:p w14:paraId="3BEABC5D">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r>
        <w:rPr>
          <w:rFonts w:hint="eastAsia" w:ascii="黑体" w:hAnsi="黑体" w:eastAsia="黑体"/>
          <w:color w:val="000000" w:themeColor="text1"/>
          <w:szCs w:val="21"/>
        </w:rPr>
        <w:t>.......................................................</w:t>
      </w:r>
    </w:p>
    <w:p w14:paraId="6913851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r>
        <w:rPr>
          <w:rFonts w:hint="eastAsia" w:ascii="黑体" w:hAnsi="黑体" w:eastAsia="黑体"/>
          <w:color w:val="000000" w:themeColor="text1"/>
          <w:szCs w:val="21"/>
        </w:rPr>
        <w:t>................................................................</w:t>
      </w:r>
    </w:p>
    <w:p w14:paraId="0664E9EB">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1510FF9E">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5174363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45E5BC3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2684D78E">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69495F7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p>
    <w:p w14:paraId="6506FFC5">
      <w:pPr>
        <w:spacing w:line="360" w:lineRule="auto"/>
        <w:rPr>
          <w:rFonts w:ascii="黑体" w:hAnsi="黑体" w:eastAsia="黑体"/>
          <w:color w:val="000000" w:themeColor="text1"/>
          <w:szCs w:val="21"/>
        </w:rPr>
      </w:pPr>
    </w:p>
    <w:p w14:paraId="2F2F83E8">
      <w:pPr>
        <w:spacing w:line="360" w:lineRule="auto"/>
        <w:rPr>
          <w:rFonts w:ascii="黑体" w:hAnsi="黑体" w:eastAsia="黑体"/>
          <w:color w:val="000000" w:themeColor="text1"/>
          <w:szCs w:val="21"/>
        </w:rPr>
      </w:pPr>
      <w:r>
        <w:rPr>
          <w:rFonts w:hint="eastAsia" w:ascii="宋体" w:hAnsi="宋体"/>
          <w:bCs/>
          <w:iCs/>
          <w:color w:val="000000" w:themeColor="text1"/>
          <w:szCs w:val="21"/>
        </w:rPr>
        <w:t>（说明：响应文件标注页码。）</w:t>
      </w:r>
    </w:p>
    <w:p w14:paraId="063BF4F0">
      <w:pPr>
        <w:spacing w:line="360" w:lineRule="auto"/>
        <w:rPr>
          <w:rFonts w:ascii="黑体" w:hAnsi="黑体" w:eastAsia="黑体"/>
          <w:color w:val="000000" w:themeColor="text1"/>
          <w:szCs w:val="21"/>
        </w:rPr>
      </w:pPr>
    </w:p>
    <w:p w14:paraId="5A0D96E4">
      <w:pPr>
        <w:spacing w:line="360" w:lineRule="auto"/>
        <w:rPr>
          <w:rFonts w:ascii="黑体" w:hAnsi="黑体" w:eastAsia="黑体"/>
          <w:color w:val="000000" w:themeColor="text1"/>
          <w:sz w:val="24"/>
        </w:rPr>
      </w:pPr>
    </w:p>
    <w:p w14:paraId="0CCAAC51">
      <w:pPr>
        <w:spacing w:line="360" w:lineRule="auto"/>
        <w:rPr>
          <w:rFonts w:ascii="黑体" w:hAnsi="黑体" w:eastAsia="黑体"/>
          <w:color w:val="000000" w:themeColor="text1"/>
          <w:sz w:val="24"/>
        </w:rPr>
      </w:pPr>
    </w:p>
    <w:p w14:paraId="538EDC4B">
      <w:pPr>
        <w:spacing w:line="360" w:lineRule="auto"/>
        <w:rPr>
          <w:rFonts w:ascii="黑体" w:hAnsi="黑体" w:eastAsia="黑体"/>
          <w:color w:val="000000" w:themeColor="text1"/>
          <w:sz w:val="24"/>
        </w:rPr>
      </w:pPr>
    </w:p>
    <w:p w14:paraId="7F3A00F9">
      <w:pPr>
        <w:spacing w:line="360" w:lineRule="auto"/>
        <w:rPr>
          <w:rFonts w:ascii="黑体" w:hAnsi="黑体" w:eastAsia="黑体"/>
          <w:color w:val="000000" w:themeColor="text1"/>
          <w:sz w:val="24"/>
        </w:rPr>
      </w:pPr>
    </w:p>
    <w:p w14:paraId="614DE508">
      <w:pPr>
        <w:spacing w:line="360" w:lineRule="auto"/>
        <w:rPr>
          <w:rFonts w:ascii="黑体" w:hAnsi="黑体" w:eastAsia="黑体"/>
          <w:color w:val="000000" w:themeColor="text1"/>
          <w:sz w:val="24"/>
        </w:rPr>
      </w:pPr>
    </w:p>
    <w:p w14:paraId="1483E8B8">
      <w:pPr>
        <w:spacing w:line="360" w:lineRule="auto"/>
        <w:rPr>
          <w:rFonts w:ascii="黑体" w:hAnsi="黑体" w:eastAsia="黑体"/>
          <w:color w:val="000000" w:themeColor="text1"/>
          <w:sz w:val="24"/>
        </w:rPr>
      </w:pPr>
    </w:p>
    <w:p w14:paraId="6E6EDDC5">
      <w:pPr>
        <w:spacing w:line="360" w:lineRule="auto"/>
        <w:rPr>
          <w:rFonts w:ascii="黑体" w:hAnsi="黑体" w:eastAsia="黑体"/>
          <w:color w:val="000000" w:themeColor="text1"/>
          <w:sz w:val="24"/>
        </w:rPr>
      </w:pPr>
    </w:p>
    <w:p w14:paraId="4F4534B4">
      <w:pPr>
        <w:spacing w:line="360" w:lineRule="auto"/>
        <w:rPr>
          <w:rFonts w:ascii="黑体" w:hAnsi="黑体" w:eastAsia="黑体"/>
          <w:color w:val="000000" w:themeColor="text1"/>
          <w:sz w:val="24"/>
        </w:rPr>
      </w:pPr>
    </w:p>
    <w:p w14:paraId="45959A77">
      <w:pPr>
        <w:spacing w:line="360" w:lineRule="auto"/>
        <w:rPr>
          <w:rFonts w:ascii="黑体" w:hAnsi="黑体" w:eastAsia="黑体"/>
          <w:color w:val="000000" w:themeColor="text1"/>
          <w:sz w:val="24"/>
        </w:rPr>
      </w:pPr>
    </w:p>
    <w:p w14:paraId="29205185">
      <w:pPr>
        <w:spacing w:line="360" w:lineRule="auto"/>
        <w:rPr>
          <w:rFonts w:ascii="黑体" w:hAnsi="黑体" w:eastAsia="黑体"/>
          <w:color w:val="000000" w:themeColor="text1"/>
          <w:sz w:val="24"/>
        </w:rPr>
      </w:pPr>
    </w:p>
    <w:p w14:paraId="18908773">
      <w:pPr>
        <w:spacing w:line="360" w:lineRule="auto"/>
        <w:rPr>
          <w:color w:val="000000" w:themeColor="text1"/>
        </w:rPr>
      </w:pPr>
    </w:p>
    <w:p w14:paraId="4C44CA23">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49F0D157">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5AE442C0">
      <w:pPr>
        <w:spacing w:line="360" w:lineRule="auto"/>
        <w:rPr>
          <w:rFonts w:ascii="宋体" w:hAnsi="宋体"/>
          <w:color w:val="000000" w:themeColor="text1"/>
          <w:sz w:val="24"/>
        </w:rPr>
      </w:pPr>
      <w:r>
        <w:rPr>
          <w:rFonts w:ascii="宋体" w:hAnsi="宋体"/>
          <w:color w:val="000000" w:themeColor="text1"/>
          <w:sz w:val="24"/>
        </w:rPr>
        <w:t>扬州市第三人民医院：</w:t>
      </w:r>
    </w:p>
    <w:p w14:paraId="2C11D9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0581857">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58AA8B6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27341ACA">
      <w:pPr>
        <w:pStyle w:val="146"/>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4CA5695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484205A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7DC2365F">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5D0C1C8F">
      <w:pPr>
        <w:spacing w:line="360" w:lineRule="auto"/>
        <w:rPr>
          <w:rFonts w:ascii="宋体" w:hAnsi="宋体"/>
          <w:color w:val="000000" w:themeColor="text1"/>
          <w:sz w:val="24"/>
        </w:rPr>
      </w:pPr>
    </w:p>
    <w:p w14:paraId="5D38AFDE">
      <w:pPr>
        <w:spacing w:line="360" w:lineRule="auto"/>
        <w:rPr>
          <w:rFonts w:ascii="宋体" w:hAnsi="宋体"/>
          <w:color w:val="000000" w:themeColor="text1"/>
          <w:sz w:val="24"/>
        </w:rPr>
      </w:pPr>
    </w:p>
    <w:p w14:paraId="1CAF50B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5A50531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108E0542">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64DB1A78">
      <w:pPr>
        <w:widowControl/>
        <w:spacing w:line="360" w:lineRule="auto"/>
        <w:jc w:val="left"/>
        <w:rPr>
          <w:rFonts w:ascii="宋体" w:hAnsi="宋体" w:cs="宋体"/>
          <w:color w:val="000000" w:themeColor="text1"/>
          <w:kern w:val="0"/>
          <w:sz w:val="24"/>
        </w:rPr>
      </w:pPr>
    </w:p>
    <w:p w14:paraId="380B84F3">
      <w:pPr>
        <w:widowControl/>
        <w:spacing w:line="360" w:lineRule="auto"/>
        <w:jc w:val="left"/>
        <w:rPr>
          <w:rFonts w:ascii="宋体" w:hAnsi="宋体" w:cs="宋体"/>
          <w:color w:val="000000" w:themeColor="text1"/>
          <w:kern w:val="0"/>
          <w:sz w:val="24"/>
        </w:rPr>
      </w:pPr>
    </w:p>
    <w:p w14:paraId="2E4D84B8">
      <w:pPr>
        <w:widowControl/>
        <w:spacing w:line="360" w:lineRule="auto"/>
        <w:jc w:val="left"/>
        <w:rPr>
          <w:rFonts w:ascii="宋体" w:hAnsi="宋体" w:cs="宋体"/>
          <w:color w:val="000000" w:themeColor="text1"/>
          <w:kern w:val="0"/>
          <w:sz w:val="24"/>
        </w:rPr>
      </w:pPr>
    </w:p>
    <w:p w14:paraId="3E79F1ED">
      <w:pPr>
        <w:widowControl/>
        <w:spacing w:line="360" w:lineRule="auto"/>
        <w:jc w:val="left"/>
        <w:rPr>
          <w:rFonts w:ascii="宋体" w:hAnsi="宋体" w:cs="宋体"/>
          <w:color w:val="000000" w:themeColor="text1"/>
          <w:kern w:val="0"/>
          <w:sz w:val="24"/>
        </w:rPr>
      </w:pPr>
    </w:p>
    <w:p w14:paraId="173CF7A9">
      <w:pPr>
        <w:widowControl/>
        <w:spacing w:line="360" w:lineRule="auto"/>
        <w:jc w:val="left"/>
        <w:rPr>
          <w:rFonts w:ascii="宋体" w:hAnsi="宋体" w:cs="宋体"/>
          <w:color w:val="000000" w:themeColor="text1"/>
          <w:kern w:val="0"/>
          <w:sz w:val="24"/>
        </w:rPr>
      </w:pPr>
    </w:p>
    <w:p w14:paraId="3AC75693">
      <w:pPr>
        <w:spacing w:line="360" w:lineRule="auto"/>
        <w:jc w:val="center"/>
        <w:rPr>
          <w:rFonts w:ascii="宋体" w:hAnsi="宋体" w:cs="宋体"/>
          <w:color w:val="000000" w:themeColor="text1"/>
          <w:kern w:val="0"/>
          <w:sz w:val="24"/>
        </w:rPr>
      </w:pPr>
    </w:p>
    <w:p w14:paraId="16F6488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134F2EA8">
      <w:pPr>
        <w:spacing w:line="360" w:lineRule="auto"/>
        <w:jc w:val="left"/>
        <w:rPr>
          <w:rFonts w:ascii="宋体" w:hAnsi="宋体"/>
          <w:b/>
          <w:color w:val="000000" w:themeColor="text1"/>
          <w:sz w:val="32"/>
          <w:szCs w:val="32"/>
        </w:rPr>
      </w:pPr>
    </w:p>
    <w:p w14:paraId="432A35A1">
      <w:pPr>
        <w:spacing w:line="360" w:lineRule="auto"/>
        <w:jc w:val="left"/>
        <w:rPr>
          <w:rFonts w:ascii="宋体" w:hAnsi="宋体"/>
          <w:b/>
          <w:color w:val="000000" w:themeColor="text1"/>
          <w:sz w:val="32"/>
          <w:szCs w:val="32"/>
        </w:rPr>
      </w:pPr>
    </w:p>
    <w:p w14:paraId="212CA51F">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3DC3AC48">
      <w:pPr>
        <w:spacing w:line="360" w:lineRule="auto"/>
        <w:rPr>
          <w:rFonts w:ascii="宋体" w:hAnsi="宋体"/>
          <w:color w:val="000000" w:themeColor="text1"/>
          <w:sz w:val="24"/>
        </w:rPr>
      </w:pPr>
      <w:r>
        <w:rPr>
          <w:rFonts w:ascii="宋体" w:hAnsi="宋体"/>
          <w:color w:val="000000" w:themeColor="text1"/>
          <w:sz w:val="24"/>
        </w:rPr>
        <w:t>扬州市第三人民医院：</w:t>
      </w:r>
    </w:p>
    <w:p w14:paraId="20410A36">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219046B9">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F704116">
      <w:pPr>
        <w:pStyle w:val="29"/>
        <w:widowControl w:val="0"/>
        <w:spacing w:before="0" w:beforeAutospacing="0" w:after="0" w:afterAutospacing="0" w:line="360" w:lineRule="auto"/>
        <w:jc w:val="both"/>
        <w:rPr>
          <w:rFonts w:cs="Times New Roman"/>
          <w:color w:val="000000" w:themeColor="text1"/>
        </w:rPr>
      </w:pPr>
    </w:p>
    <w:p w14:paraId="50E2EA84">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5F8A4E45">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230699D8">
      <w:pPr>
        <w:spacing w:line="360" w:lineRule="auto"/>
        <w:ind w:firstLine="630"/>
        <w:rPr>
          <w:rFonts w:ascii="宋体" w:hAnsi="宋体"/>
          <w:color w:val="000000" w:themeColor="text1"/>
          <w:sz w:val="24"/>
        </w:rPr>
      </w:pPr>
    </w:p>
    <w:p w14:paraId="2B1166AF">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120A7DB0">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1FFAB269">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25D3100D">
      <w:pPr>
        <w:spacing w:line="360" w:lineRule="auto"/>
        <w:ind w:firstLine="629"/>
        <w:rPr>
          <w:rFonts w:ascii="宋体" w:hAnsi="宋体"/>
          <w:color w:val="000000" w:themeColor="text1"/>
          <w:sz w:val="24"/>
        </w:rPr>
      </w:pPr>
    </w:p>
    <w:p w14:paraId="75B0BE8C">
      <w:pPr>
        <w:spacing w:line="360" w:lineRule="auto"/>
        <w:ind w:firstLine="629"/>
        <w:rPr>
          <w:rFonts w:ascii="宋体" w:hAnsi="宋体"/>
          <w:color w:val="000000" w:themeColor="text1"/>
          <w:sz w:val="24"/>
        </w:rPr>
      </w:pPr>
    </w:p>
    <w:p w14:paraId="018D14C8">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4939CF59">
      <w:pPr>
        <w:spacing w:line="360" w:lineRule="auto"/>
        <w:ind w:firstLine="629"/>
        <w:rPr>
          <w:rFonts w:ascii="宋体" w:hAnsi="宋体"/>
          <w:color w:val="000000" w:themeColor="text1"/>
          <w:sz w:val="24"/>
        </w:rPr>
      </w:pPr>
    </w:p>
    <w:p w14:paraId="510B8B92">
      <w:pPr>
        <w:spacing w:line="360" w:lineRule="auto"/>
        <w:ind w:firstLine="629"/>
        <w:rPr>
          <w:rFonts w:ascii="宋体" w:hAnsi="宋体"/>
          <w:color w:val="000000" w:themeColor="text1"/>
          <w:sz w:val="24"/>
        </w:rPr>
      </w:pPr>
    </w:p>
    <w:p w14:paraId="498BA094">
      <w:pPr>
        <w:spacing w:line="360" w:lineRule="auto"/>
        <w:ind w:firstLine="629"/>
        <w:rPr>
          <w:rFonts w:ascii="宋体" w:hAnsi="宋体"/>
          <w:color w:val="000000" w:themeColor="text1"/>
          <w:sz w:val="24"/>
        </w:rPr>
      </w:pPr>
    </w:p>
    <w:p w14:paraId="6E764A81">
      <w:pPr>
        <w:spacing w:line="360" w:lineRule="auto"/>
        <w:ind w:firstLine="629"/>
        <w:rPr>
          <w:rFonts w:ascii="宋体" w:hAnsi="宋体"/>
          <w:color w:val="000000" w:themeColor="text1"/>
          <w:sz w:val="24"/>
        </w:rPr>
      </w:pPr>
    </w:p>
    <w:p w14:paraId="18669289">
      <w:pPr>
        <w:spacing w:line="360" w:lineRule="auto"/>
        <w:ind w:firstLine="629"/>
        <w:rPr>
          <w:rFonts w:ascii="宋体" w:hAnsi="宋体"/>
          <w:color w:val="000000" w:themeColor="text1"/>
          <w:sz w:val="24"/>
        </w:rPr>
      </w:pPr>
    </w:p>
    <w:p w14:paraId="70C6A177">
      <w:pPr>
        <w:spacing w:line="360" w:lineRule="auto"/>
        <w:ind w:firstLine="629"/>
        <w:rPr>
          <w:rFonts w:ascii="宋体" w:hAnsi="宋体"/>
          <w:color w:val="000000" w:themeColor="text1"/>
          <w:sz w:val="24"/>
        </w:rPr>
      </w:pPr>
    </w:p>
    <w:p w14:paraId="10506522">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6192F023">
      <w:pPr>
        <w:spacing w:line="360" w:lineRule="auto"/>
        <w:rPr>
          <w:rFonts w:ascii="宋体" w:hAnsi="宋体"/>
          <w:color w:val="000000" w:themeColor="text1"/>
          <w:sz w:val="24"/>
        </w:rPr>
      </w:pPr>
    </w:p>
    <w:p w14:paraId="74C47DE2">
      <w:pPr>
        <w:spacing w:line="360" w:lineRule="auto"/>
        <w:rPr>
          <w:rFonts w:ascii="宋体" w:hAnsi="宋体"/>
          <w:color w:val="000000" w:themeColor="text1"/>
          <w:sz w:val="24"/>
        </w:rPr>
      </w:pPr>
    </w:p>
    <w:p w14:paraId="119FD7A8">
      <w:pPr>
        <w:spacing w:line="360" w:lineRule="auto"/>
        <w:rPr>
          <w:rFonts w:ascii="宋体" w:hAnsi="宋体"/>
          <w:color w:val="000000" w:themeColor="text1"/>
          <w:sz w:val="24"/>
        </w:rPr>
      </w:pPr>
    </w:p>
    <w:p w14:paraId="46E6C989">
      <w:pPr>
        <w:spacing w:line="360" w:lineRule="auto"/>
        <w:rPr>
          <w:rFonts w:ascii="宋体" w:hAnsi="宋体"/>
          <w:color w:val="000000" w:themeColor="text1"/>
          <w:sz w:val="24"/>
        </w:rPr>
      </w:pPr>
    </w:p>
    <w:p w14:paraId="2DCBFAF3">
      <w:pPr>
        <w:spacing w:line="360" w:lineRule="auto"/>
        <w:rPr>
          <w:rFonts w:ascii="宋体" w:hAnsi="宋体"/>
          <w:color w:val="000000" w:themeColor="text1"/>
          <w:sz w:val="24"/>
        </w:rPr>
      </w:pPr>
    </w:p>
    <w:p w14:paraId="3B395C35">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664F36BD">
      <w:pPr>
        <w:spacing w:line="360" w:lineRule="auto"/>
        <w:jc w:val="left"/>
        <w:rPr>
          <w:rFonts w:ascii="宋体" w:hAnsi="宋体"/>
          <w:b/>
          <w:color w:val="000000" w:themeColor="text1"/>
          <w:sz w:val="28"/>
          <w:szCs w:val="28"/>
        </w:rPr>
      </w:pPr>
    </w:p>
    <w:p w14:paraId="560792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4A3EBBBE">
      <w:pPr>
        <w:spacing w:line="360" w:lineRule="auto"/>
        <w:rPr>
          <w:rFonts w:ascii="宋体" w:hAnsi="宋体"/>
          <w:b/>
          <w:color w:val="000000" w:themeColor="text1"/>
          <w:sz w:val="28"/>
          <w:szCs w:val="28"/>
        </w:rPr>
      </w:pPr>
    </w:p>
    <w:p w14:paraId="0AD15365">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3178F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939C477">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628B05DE">
            <w:pPr>
              <w:tabs>
                <w:tab w:val="left" w:pos="2772"/>
              </w:tabs>
              <w:rPr>
                <w:rFonts w:ascii="宋体" w:hAnsi="宋体"/>
                <w:color w:val="000000" w:themeColor="text1"/>
                <w:szCs w:val="21"/>
              </w:rPr>
            </w:pPr>
          </w:p>
        </w:tc>
        <w:tc>
          <w:tcPr>
            <w:tcW w:w="1260" w:type="dxa"/>
            <w:gridSpan w:val="3"/>
            <w:vAlign w:val="center"/>
          </w:tcPr>
          <w:p w14:paraId="7CF618A8">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159E4CB8">
            <w:pPr>
              <w:tabs>
                <w:tab w:val="left" w:pos="2772"/>
              </w:tabs>
              <w:rPr>
                <w:rFonts w:ascii="宋体" w:hAnsi="宋体"/>
                <w:color w:val="000000" w:themeColor="text1"/>
                <w:szCs w:val="21"/>
              </w:rPr>
            </w:pPr>
          </w:p>
        </w:tc>
      </w:tr>
      <w:tr w14:paraId="7F52F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1D99FD6">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D657859">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28403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8873802">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71D9692B">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7E35B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414244FA">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5B5B48A2">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4ED234D7">
            <w:pPr>
              <w:tabs>
                <w:tab w:val="left" w:pos="2772"/>
              </w:tabs>
              <w:rPr>
                <w:rFonts w:ascii="宋体" w:hAnsi="宋体"/>
                <w:color w:val="000000" w:themeColor="text1"/>
                <w:szCs w:val="21"/>
              </w:rPr>
            </w:pPr>
          </w:p>
        </w:tc>
        <w:tc>
          <w:tcPr>
            <w:tcW w:w="1260" w:type="dxa"/>
            <w:gridSpan w:val="2"/>
            <w:vAlign w:val="center"/>
          </w:tcPr>
          <w:p w14:paraId="36BFA614">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43D07D8A">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476D73D9">
            <w:pPr>
              <w:tabs>
                <w:tab w:val="left" w:pos="2772"/>
              </w:tabs>
              <w:rPr>
                <w:rFonts w:ascii="宋体" w:hAnsi="宋体"/>
                <w:color w:val="000000" w:themeColor="text1"/>
                <w:szCs w:val="21"/>
              </w:rPr>
            </w:pPr>
          </w:p>
        </w:tc>
        <w:tc>
          <w:tcPr>
            <w:tcW w:w="1440" w:type="dxa"/>
            <w:gridSpan w:val="3"/>
            <w:vAlign w:val="center"/>
          </w:tcPr>
          <w:p w14:paraId="25E681B9">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11F1F6F9">
            <w:pPr>
              <w:tabs>
                <w:tab w:val="left" w:pos="2772"/>
              </w:tabs>
              <w:rPr>
                <w:rFonts w:ascii="宋体" w:hAnsi="宋体"/>
                <w:color w:val="000000" w:themeColor="text1"/>
                <w:szCs w:val="21"/>
              </w:rPr>
            </w:pPr>
          </w:p>
        </w:tc>
      </w:tr>
      <w:tr w14:paraId="4F0EA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4911596A">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3101C8D2">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7FB1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951C0BC">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5BA92628">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0BD9F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F5A0D2A">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7A7D63F2">
            <w:pPr>
              <w:tabs>
                <w:tab w:val="left" w:pos="2772"/>
              </w:tabs>
              <w:rPr>
                <w:rFonts w:ascii="宋体" w:hAnsi="宋体"/>
                <w:color w:val="000000" w:themeColor="text1"/>
                <w:szCs w:val="21"/>
              </w:rPr>
            </w:pPr>
          </w:p>
        </w:tc>
        <w:tc>
          <w:tcPr>
            <w:tcW w:w="720" w:type="dxa"/>
            <w:vAlign w:val="center"/>
          </w:tcPr>
          <w:p w14:paraId="2786FC61">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4125F5AC">
            <w:pPr>
              <w:tabs>
                <w:tab w:val="left" w:pos="2772"/>
              </w:tabs>
              <w:rPr>
                <w:rFonts w:ascii="宋体" w:hAnsi="宋体"/>
                <w:color w:val="000000" w:themeColor="text1"/>
                <w:szCs w:val="21"/>
              </w:rPr>
            </w:pPr>
          </w:p>
        </w:tc>
        <w:tc>
          <w:tcPr>
            <w:tcW w:w="720" w:type="dxa"/>
            <w:gridSpan w:val="2"/>
            <w:vAlign w:val="center"/>
          </w:tcPr>
          <w:p w14:paraId="5EBC61E8">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26BDD7F3">
            <w:pPr>
              <w:tabs>
                <w:tab w:val="left" w:pos="2772"/>
              </w:tabs>
              <w:rPr>
                <w:rFonts w:ascii="宋体" w:hAnsi="宋体"/>
                <w:color w:val="000000" w:themeColor="text1"/>
                <w:szCs w:val="21"/>
              </w:rPr>
            </w:pPr>
          </w:p>
        </w:tc>
        <w:tc>
          <w:tcPr>
            <w:tcW w:w="720" w:type="dxa"/>
            <w:gridSpan w:val="2"/>
            <w:vAlign w:val="center"/>
          </w:tcPr>
          <w:p w14:paraId="5A1E9AAE">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4F404109">
            <w:pPr>
              <w:tabs>
                <w:tab w:val="left" w:pos="2772"/>
              </w:tabs>
              <w:rPr>
                <w:rFonts w:ascii="宋体" w:hAnsi="宋体"/>
                <w:color w:val="000000" w:themeColor="text1"/>
                <w:szCs w:val="21"/>
              </w:rPr>
            </w:pPr>
          </w:p>
        </w:tc>
      </w:tr>
      <w:tr w14:paraId="4458A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0894DE6B">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76BC8A8B">
            <w:pPr>
              <w:tabs>
                <w:tab w:val="left" w:pos="2772"/>
              </w:tabs>
              <w:jc w:val="center"/>
              <w:rPr>
                <w:rFonts w:ascii="宋体" w:hAnsi="宋体"/>
                <w:color w:val="000000" w:themeColor="text1"/>
                <w:szCs w:val="21"/>
              </w:rPr>
            </w:pPr>
          </w:p>
          <w:p w14:paraId="1E21A0D0">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7D0A92E3">
            <w:pPr>
              <w:tabs>
                <w:tab w:val="left" w:pos="2772"/>
              </w:tabs>
              <w:jc w:val="center"/>
              <w:rPr>
                <w:rFonts w:ascii="宋体" w:hAnsi="宋体"/>
                <w:color w:val="000000" w:themeColor="text1"/>
                <w:szCs w:val="21"/>
              </w:rPr>
            </w:pPr>
          </w:p>
          <w:p w14:paraId="0BA5FF7B">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0A588F3C">
            <w:pPr>
              <w:tabs>
                <w:tab w:val="left" w:pos="2772"/>
              </w:tabs>
              <w:jc w:val="center"/>
              <w:rPr>
                <w:rFonts w:ascii="宋体" w:hAnsi="宋体"/>
                <w:color w:val="000000" w:themeColor="text1"/>
                <w:szCs w:val="21"/>
              </w:rPr>
            </w:pPr>
          </w:p>
          <w:p w14:paraId="06D0A7B0">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67C5CD63">
            <w:pPr>
              <w:tabs>
                <w:tab w:val="left" w:pos="2772"/>
              </w:tabs>
              <w:rPr>
                <w:rFonts w:ascii="宋体" w:hAnsi="宋体"/>
                <w:color w:val="000000" w:themeColor="text1"/>
                <w:szCs w:val="21"/>
              </w:rPr>
            </w:pPr>
          </w:p>
        </w:tc>
      </w:tr>
    </w:tbl>
    <w:p w14:paraId="4E509D2C">
      <w:pPr>
        <w:spacing w:line="360" w:lineRule="auto"/>
        <w:rPr>
          <w:rFonts w:ascii="宋体" w:hAnsi="宋体"/>
          <w:b/>
          <w:color w:val="000000" w:themeColor="text1"/>
          <w:sz w:val="24"/>
        </w:rPr>
      </w:pPr>
    </w:p>
    <w:p w14:paraId="5946215F">
      <w:pPr>
        <w:spacing w:line="360" w:lineRule="auto"/>
        <w:rPr>
          <w:rFonts w:ascii="宋体" w:hAnsi="宋体"/>
          <w:color w:val="000000" w:themeColor="text1"/>
          <w:sz w:val="24"/>
        </w:rPr>
      </w:pPr>
    </w:p>
    <w:p w14:paraId="233018FC">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CEFB0C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0E037880">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37E10B9D">
      <w:pPr>
        <w:spacing w:line="360" w:lineRule="auto"/>
        <w:jc w:val="left"/>
        <w:rPr>
          <w:rFonts w:ascii="宋体" w:hAnsi="宋体"/>
          <w:b/>
          <w:color w:val="000000" w:themeColor="text1"/>
          <w:sz w:val="28"/>
          <w:szCs w:val="28"/>
        </w:rPr>
      </w:pPr>
    </w:p>
    <w:p w14:paraId="7062B7A7">
      <w:pPr>
        <w:pStyle w:val="151"/>
        <w:spacing w:line="360" w:lineRule="auto"/>
        <w:jc w:val="center"/>
        <w:rPr>
          <w:rFonts w:ascii="宋体"/>
          <w:b/>
          <w:bCs/>
          <w:color w:val="000000" w:themeColor="text1"/>
          <w:sz w:val="32"/>
          <w:szCs w:val="32"/>
        </w:rPr>
      </w:pPr>
    </w:p>
    <w:p w14:paraId="255193AE">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159CDF45">
      <w:pPr>
        <w:spacing w:line="360" w:lineRule="auto"/>
        <w:jc w:val="center"/>
        <w:rPr>
          <w:rFonts w:ascii="宋体" w:hAnsi="宋体"/>
          <w:b/>
          <w:color w:val="000000" w:themeColor="text1"/>
          <w:sz w:val="32"/>
          <w:szCs w:val="32"/>
        </w:rPr>
      </w:pPr>
    </w:p>
    <w:p w14:paraId="4657BC44">
      <w:pPr>
        <w:pStyle w:val="152"/>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42B641B3">
      <w:pPr>
        <w:pStyle w:val="152"/>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1EF7B0A2">
      <w:pPr>
        <w:pStyle w:val="152"/>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EE9879">
      <w:pPr>
        <w:pStyle w:val="152"/>
        <w:spacing w:line="360" w:lineRule="auto"/>
        <w:ind w:firstLine="600"/>
        <w:rPr>
          <w:rFonts w:ascii="宋体" w:hAnsi="宋体"/>
          <w:color w:val="000000" w:themeColor="text1"/>
          <w:sz w:val="24"/>
        </w:rPr>
      </w:pPr>
    </w:p>
    <w:p w14:paraId="07924C7C">
      <w:pPr>
        <w:pStyle w:val="152"/>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1A788C">
      <w:pPr>
        <w:pStyle w:val="152"/>
        <w:spacing w:line="360" w:lineRule="auto"/>
        <w:ind w:firstLine="600"/>
        <w:rPr>
          <w:rFonts w:ascii="仿宋_GB2312" w:eastAsia="仿宋_GB2312"/>
          <w:color w:val="000000" w:themeColor="text1"/>
          <w:sz w:val="24"/>
        </w:rPr>
      </w:pPr>
    </w:p>
    <w:p w14:paraId="1A479FD0">
      <w:pPr>
        <w:pStyle w:val="152"/>
        <w:spacing w:line="360" w:lineRule="auto"/>
        <w:ind w:firstLine="600"/>
        <w:rPr>
          <w:rFonts w:ascii="仿宋_GB2312" w:eastAsia="仿宋_GB2312"/>
          <w:color w:val="000000" w:themeColor="text1"/>
          <w:sz w:val="24"/>
        </w:rPr>
      </w:pPr>
    </w:p>
    <w:p w14:paraId="7F16DB0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7D33B8B">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F2E72C5">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53791753">
      <w:pPr>
        <w:spacing w:line="360" w:lineRule="auto"/>
        <w:rPr>
          <w:rFonts w:ascii="宋体" w:hAnsi="宋体"/>
          <w:b/>
          <w:color w:val="000000" w:themeColor="text1"/>
          <w:sz w:val="28"/>
          <w:szCs w:val="28"/>
        </w:rPr>
      </w:pPr>
    </w:p>
    <w:p w14:paraId="53266A5E">
      <w:pPr>
        <w:spacing w:line="360" w:lineRule="auto"/>
        <w:rPr>
          <w:rFonts w:ascii="宋体" w:hAnsi="宋体"/>
          <w:b/>
          <w:color w:val="000000" w:themeColor="text1"/>
          <w:sz w:val="28"/>
          <w:szCs w:val="28"/>
        </w:rPr>
      </w:pPr>
    </w:p>
    <w:p w14:paraId="1A3893DC">
      <w:pPr>
        <w:spacing w:line="360" w:lineRule="auto"/>
        <w:rPr>
          <w:rFonts w:ascii="宋体" w:hAnsi="宋体"/>
          <w:b/>
          <w:color w:val="000000" w:themeColor="text1"/>
          <w:sz w:val="28"/>
          <w:szCs w:val="28"/>
        </w:rPr>
      </w:pPr>
    </w:p>
    <w:p w14:paraId="7F49D0F2">
      <w:pPr>
        <w:spacing w:line="360" w:lineRule="auto"/>
        <w:rPr>
          <w:rFonts w:ascii="宋体" w:hAnsi="宋体"/>
          <w:b/>
          <w:color w:val="000000" w:themeColor="text1"/>
          <w:sz w:val="28"/>
          <w:szCs w:val="28"/>
        </w:rPr>
      </w:pPr>
    </w:p>
    <w:p w14:paraId="5561CAD5">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8" w:bottom="1134" w:left="1418" w:header="426" w:footer="567" w:gutter="0"/>
          <w:cols w:space="720" w:num="1"/>
          <w:titlePg/>
          <w:docGrid w:linePitch="312" w:charSpace="0"/>
        </w:sectPr>
      </w:pPr>
    </w:p>
    <w:p w14:paraId="1789110E">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6FBD8DB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602"/>
        <w:gridCol w:w="1134"/>
        <w:gridCol w:w="893"/>
        <w:gridCol w:w="808"/>
        <w:gridCol w:w="2410"/>
        <w:gridCol w:w="2131"/>
      </w:tblGrid>
      <w:tr w14:paraId="47F4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4428EC48">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5736" w:type="dxa"/>
            <w:gridSpan w:val="2"/>
            <w:vAlign w:val="center"/>
          </w:tcPr>
          <w:p w14:paraId="4EA8C152">
            <w:pPr>
              <w:pStyle w:val="19"/>
              <w:spacing w:line="240" w:lineRule="auto"/>
              <w:ind w:firstLine="0" w:firstLineChars="0"/>
              <w:jc w:val="center"/>
              <w:rPr>
                <w:rFonts w:ascii="宋体" w:hAnsi="宋体" w:eastAsia="宋体"/>
                <w:color w:val="000000" w:themeColor="text1"/>
                <w:kern w:val="2"/>
                <w:sz w:val="21"/>
                <w:szCs w:val="21"/>
              </w:rPr>
            </w:pPr>
          </w:p>
        </w:tc>
        <w:tc>
          <w:tcPr>
            <w:tcW w:w="1701" w:type="dxa"/>
            <w:gridSpan w:val="2"/>
            <w:vAlign w:val="center"/>
          </w:tcPr>
          <w:p w14:paraId="2EC9F572">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4541" w:type="dxa"/>
            <w:gridSpan w:val="2"/>
            <w:vAlign w:val="center"/>
          </w:tcPr>
          <w:p w14:paraId="6C9D1EB5">
            <w:pPr>
              <w:topLinePunct/>
              <w:jc w:val="center"/>
              <w:rPr>
                <w:rFonts w:ascii="宋体" w:hAnsi="宋体"/>
                <w:color w:val="000000" w:themeColor="text1"/>
                <w:szCs w:val="21"/>
                <w:highlight w:val="yellow"/>
              </w:rPr>
            </w:pPr>
          </w:p>
        </w:tc>
      </w:tr>
      <w:tr w14:paraId="195B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vAlign w:val="center"/>
          </w:tcPr>
          <w:p w14:paraId="51B43CF2">
            <w:pPr>
              <w:jc w:val="center"/>
              <w:rPr>
                <w:rFonts w:ascii="宋体" w:hAnsi="宋体"/>
                <w:color w:val="000000" w:themeColor="text1"/>
                <w:szCs w:val="21"/>
              </w:rPr>
            </w:pPr>
            <w:r>
              <w:rPr>
                <w:rFonts w:hint="eastAsia" w:ascii="宋体" w:hAnsi="宋体"/>
                <w:color w:val="000000" w:themeColor="text1"/>
                <w:szCs w:val="21"/>
              </w:rPr>
              <w:t>报价</w:t>
            </w:r>
          </w:p>
        </w:tc>
        <w:tc>
          <w:tcPr>
            <w:tcW w:w="4602" w:type="dxa"/>
            <w:shd w:val="clear" w:color="auto" w:fill="auto"/>
            <w:vAlign w:val="center"/>
          </w:tcPr>
          <w:p w14:paraId="656ED855">
            <w:pPr>
              <w:jc w:val="center"/>
              <w:rPr>
                <w:rFonts w:ascii="宋体" w:hAnsi="宋体"/>
                <w:color w:val="000000" w:themeColor="text1"/>
                <w:szCs w:val="21"/>
              </w:rPr>
            </w:pPr>
            <w:r>
              <w:rPr>
                <w:rFonts w:hint="eastAsia" w:ascii="宋体" w:hAnsi="宋体"/>
                <w:color w:val="000000" w:themeColor="text1"/>
                <w:szCs w:val="21"/>
              </w:rPr>
              <w:t>检测项目名称</w:t>
            </w:r>
          </w:p>
        </w:tc>
        <w:tc>
          <w:tcPr>
            <w:tcW w:w="2027" w:type="dxa"/>
            <w:gridSpan w:val="2"/>
            <w:tcBorders>
              <w:bottom w:val="single" w:color="auto" w:sz="4" w:space="0"/>
            </w:tcBorders>
            <w:vAlign w:val="center"/>
          </w:tcPr>
          <w:p w14:paraId="054E6990">
            <w:pPr>
              <w:jc w:val="center"/>
              <w:rPr>
                <w:rFonts w:ascii="宋体" w:hAnsi="宋体"/>
                <w:color w:val="000000" w:themeColor="text1"/>
                <w:szCs w:val="21"/>
              </w:rPr>
            </w:pPr>
            <w:r>
              <w:rPr>
                <w:rFonts w:hint="eastAsia" w:ascii="宋体" w:hAnsi="宋体"/>
                <w:color w:val="000000" w:themeColor="text1"/>
                <w:szCs w:val="21"/>
              </w:rPr>
              <w:t>数量</w:t>
            </w:r>
          </w:p>
        </w:tc>
        <w:tc>
          <w:tcPr>
            <w:tcW w:w="3218" w:type="dxa"/>
            <w:gridSpan w:val="2"/>
            <w:tcBorders>
              <w:bottom w:val="single" w:color="auto" w:sz="4" w:space="0"/>
            </w:tcBorders>
            <w:vAlign w:val="center"/>
          </w:tcPr>
          <w:p w14:paraId="3F2C5799">
            <w:pPr>
              <w:adjustRightInd w:val="0"/>
              <w:snapToGrid w:val="0"/>
              <w:jc w:val="center"/>
              <w:rPr>
                <w:rFonts w:ascii="宋体" w:hAnsi="宋体"/>
                <w:color w:val="000000" w:themeColor="text1"/>
                <w:szCs w:val="21"/>
              </w:rPr>
            </w:pPr>
            <w:r>
              <w:rPr>
                <w:rFonts w:hint="eastAsia" w:ascii="宋体" w:hAnsi="宋体"/>
                <w:color w:val="000000" w:themeColor="text1"/>
                <w:szCs w:val="21"/>
              </w:rPr>
              <w:t>单价（元）</w:t>
            </w:r>
          </w:p>
        </w:tc>
        <w:tc>
          <w:tcPr>
            <w:tcW w:w="2131" w:type="dxa"/>
            <w:tcBorders>
              <w:bottom w:val="single" w:color="auto" w:sz="4" w:space="0"/>
            </w:tcBorders>
            <w:vAlign w:val="center"/>
          </w:tcPr>
          <w:p w14:paraId="0DB7D276">
            <w:pPr>
              <w:adjustRightInd w:val="0"/>
              <w:snapToGrid w:val="0"/>
              <w:jc w:val="center"/>
              <w:rPr>
                <w:rFonts w:ascii="宋体" w:hAnsi="宋体"/>
                <w:color w:val="000000" w:themeColor="text1"/>
                <w:szCs w:val="21"/>
              </w:rPr>
            </w:pPr>
            <w:r>
              <w:rPr>
                <w:rFonts w:hint="eastAsia" w:ascii="宋体" w:hAnsi="宋体"/>
                <w:color w:val="000000" w:themeColor="text1"/>
                <w:szCs w:val="21"/>
              </w:rPr>
              <w:t>备注</w:t>
            </w:r>
          </w:p>
        </w:tc>
      </w:tr>
      <w:tr w14:paraId="18B2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vAlign w:val="center"/>
          </w:tcPr>
          <w:p w14:paraId="2E1E213D">
            <w:pPr>
              <w:jc w:val="center"/>
              <w:rPr>
                <w:rFonts w:ascii="宋体" w:hAnsi="宋体"/>
                <w:color w:val="000000" w:themeColor="text1"/>
                <w:szCs w:val="21"/>
              </w:rPr>
            </w:pPr>
          </w:p>
        </w:tc>
        <w:tc>
          <w:tcPr>
            <w:tcW w:w="4602" w:type="dxa"/>
            <w:vAlign w:val="center"/>
          </w:tcPr>
          <w:p w14:paraId="7045FB12">
            <w:pPr>
              <w:jc w:val="center"/>
              <w:rPr>
                <w:rFonts w:ascii="宋体" w:hAnsi="宋体"/>
                <w:color w:val="000000" w:themeColor="text1"/>
                <w:szCs w:val="21"/>
              </w:rPr>
            </w:pPr>
          </w:p>
        </w:tc>
        <w:tc>
          <w:tcPr>
            <w:tcW w:w="2027" w:type="dxa"/>
            <w:gridSpan w:val="2"/>
            <w:tcBorders>
              <w:bottom w:val="single" w:color="auto" w:sz="4" w:space="0"/>
            </w:tcBorders>
            <w:vAlign w:val="center"/>
          </w:tcPr>
          <w:p w14:paraId="4D860516">
            <w:pPr>
              <w:jc w:val="center"/>
              <w:rPr>
                <w:rFonts w:ascii="宋体" w:hAnsi="宋体"/>
                <w:color w:val="000000" w:themeColor="text1"/>
                <w:szCs w:val="21"/>
              </w:rPr>
            </w:pPr>
          </w:p>
        </w:tc>
        <w:tc>
          <w:tcPr>
            <w:tcW w:w="3218" w:type="dxa"/>
            <w:gridSpan w:val="2"/>
            <w:tcBorders>
              <w:bottom w:val="single" w:color="auto" w:sz="4" w:space="0"/>
            </w:tcBorders>
            <w:vAlign w:val="center"/>
          </w:tcPr>
          <w:p w14:paraId="531184BB">
            <w:pPr>
              <w:adjustRightInd w:val="0"/>
              <w:snapToGrid w:val="0"/>
              <w:jc w:val="center"/>
              <w:rPr>
                <w:rFonts w:ascii="宋体" w:hAnsi="宋体"/>
                <w:color w:val="000000" w:themeColor="text1"/>
                <w:szCs w:val="21"/>
              </w:rPr>
            </w:pPr>
          </w:p>
        </w:tc>
        <w:tc>
          <w:tcPr>
            <w:tcW w:w="2131" w:type="dxa"/>
            <w:tcBorders>
              <w:bottom w:val="single" w:color="auto" w:sz="4" w:space="0"/>
            </w:tcBorders>
            <w:vAlign w:val="center"/>
          </w:tcPr>
          <w:p w14:paraId="1ABABA5A">
            <w:pPr>
              <w:adjustRightInd w:val="0"/>
              <w:snapToGrid w:val="0"/>
              <w:jc w:val="center"/>
              <w:rPr>
                <w:rFonts w:ascii="宋体" w:hAnsi="宋体"/>
                <w:color w:val="000000" w:themeColor="text1"/>
                <w:szCs w:val="21"/>
              </w:rPr>
            </w:pPr>
          </w:p>
        </w:tc>
      </w:tr>
      <w:tr w14:paraId="38A8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246" w:type="dxa"/>
            <w:vMerge w:val="continue"/>
            <w:vAlign w:val="center"/>
          </w:tcPr>
          <w:p w14:paraId="3EC0638D">
            <w:pPr>
              <w:jc w:val="center"/>
              <w:rPr>
                <w:rFonts w:ascii="宋体" w:hAnsi="宋体"/>
                <w:color w:val="000000" w:themeColor="text1"/>
                <w:szCs w:val="21"/>
              </w:rPr>
            </w:pPr>
          </w:p>
        </w:tc>
        <w:tc>
          <w:tcPr>
            <w:tcW w:w="11978" w:type="dxa"/>
            <w:gridSpan w:val="6"/>
            <w:vAlign w:val="center"/>
          </w:tcPr>
          <w:p w14:paraId="2942CF5C">
            <w:pPr>
              <w:spacing w:beforeLines="5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大写：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 xml:space="preserve"> </w:t>
            </w:r>
            <w:r>
              <w:rPr>
                <w:rFonts w:ascii="宋体" w:hAnsi="宋体" w:cs="宋体"/>
                <w:color w:val="000000" w:themeColor="text1"/>
                <w:szCs w:val="21"/>
                <w:highlight w:val="none"/>
              </w:rPr>
              <w:t xml:space="preserve">  </w:t>
            </w:r>
            <w:r>
              <w:rPr>
                <w:rFonts w:hint="eastAsia" w:ascii="宋体" w:hAnsi="宋体" w:cs="宋体"/>
                <w:color w:val="000000" w:themeColor="text1"/>
                <w:szCs w:val="21"/>
                <w:highlight w:val="none"/>
              </w:rPr>
              <w:t>（人民币）</w:t>
            </w:r>
          </w:p>
        </w:tc>
      </w:tr>
      <w:tr w14:paraId="7CDB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46587F1B">
            <w:pPr>
              <w:jc w:val="center"/>
              <w:rPr>
                <w:rFonts w:ascii="宋体" w:hAnsi="宋体"/>
                <w:color w:val="000000" w:themeColor="text1"/>
                <w:szCs w:val="21"/>
              </w:rPr>
            </w:pPr>
            <w:r>
              <w:rPr>
                <w:rFonts w:hint="eastAsia" w:ascii="宋体" w:hAnsi="宋体"/>
                <w:color w:val="000000" w:themeColor="text1"/>
                <w:szCs w:val="21"/>
              </w:rPr>
              <w:t>备 注</w:t>
            </w:r>
          </w:p>
        </w:tc>
        <w:tc>
          <w:tcPr>
            <w:tcW w:w="11978" w:type="dxa"/>
            <w:gridSpan w:val="6"/>
            <w:vAlign w:val="center"/>
          </w:tcPr>
          <w:p w14:paraId="1CDF1093">
            <w:pPr>
              <w:rPr>
                <w:rFonts w:ascii="宋体" w:hAnsi="宋体"/>
                <w:color w:val="000000" w:themeColor="text1"/>
                <w:szCs w:val="21"/>
              </w:rPr>
            </w:pPr>
          </w:p>
        </w:tc>
      </w:tr>
    </w:tbl>
    <w:p w14:paraId="37E1D192">
      <w:pPr>
        <w:widowControl/>
        <w:spacing w:line="360" w:lineRule="auto"/>
        <w:ind w:firstLine="141" w:firstLineChars="59"/>
        <w:jc w:val="left"/>
        <w:rPr>
          <w:rFonts w:ascii="宋体" w:hAnsi="宋体" w:cs="宋体"/>
          <w:color w:val="000000" w:themeColor="text1"/>
          <w:kern w:val="0"/>
          <w:sz w:val="24"/>
        </w:rPr>
      </w:pPr>
    </w:p>
    <w:p w14:paraId="76672792">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F8818B8">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12C50E71">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日 </w:t>
      </w:r>
    </w:p>
    <w:p w14:paraId="230DF758">
      <w:pPr>
        <w:widowControl/>
        <w:spacing w:line="360" w:lineRule="auto"/>
        <w:ind w:firstLine="283" w:firstLineChars="118"/>
        <w:jc w:val="left"/>
        <w:rPr>
          <w:rFonts w:ascii="宋体" w:hAnsi="宋体"/>
          <w:b/>
          <w:color w:val="000000" w:themeColor="text1"/>
          <w:szCs w:val="21"/>
        </w:rPr>
        <w:sectPr>
          <w:pgSz w:w="16838" w:h="11906" w:orient="landscape"/>
          <w:pgMar w:top="1276" w:right="1418" w:bottom="1134" w:left="1418" w:header="567" w:footer="567" w:gutter="0"/>
          <w:cols w:space="720" w:num="1"/>
          <w:titlePg/>
          <w:docGrid w:linePitch="312" w:charSpace="0"/>
        </w:sectPr>
      </w:pPr>
      <w:r>
        <w:rPr>
          <w:rFonts w:hint="eastAsia" w:ascii="宋体" w:hAnsi="宋体" w:cs="宋体"/>
          <w:color w:val="000000" w:themeColor="text1"/>
          <w:kern w:val="0"/>
          <w:sz w:val="24"/>
        </w:rPr>
        <w:t xml:space="preserve"> </w:t>
      </w:r>
    </w:p>
    <w:p w14:paraId="4E99DA9C">
      <w:pPr>
        <w:spacing w:line="360" w:lineRule="auto"/>
        <w:rPr>
          <w:rFonts w:ascii="宋体" w:hAnsi="宋体"/>
          <w:b/>
          <w:color w:val="000000" w:themeColor="text1"/>
          <w:szCs w:val="21"/>
        </w:rPr>
      </w:pPr>
    </w:p>
    <w:p w14:paraId="2899C68E">
      <w:pPr>
        <w:spacing w:line="360" w:lineRule="auto"/>
        <w:jc w:val="left"/>
        <w:rPr>
          <w:rFonts w:ascii="宋体" w:hAnsi="宋体"/>
          <w:b/>
          <w:color w:val="000000" w:themeColor="text1"/>
          <w:sz w:val="28"/>
          <w:szCs w:val="28"/>
        </w:rPr>
      </w:pPr>
      <w:bookmarkStart w:id="47" w:name="_Toc5322"/>
      <w:r>
        <w:rPr>
          <w:rFonts w:hint="eastAsia" w:ascii="宋体" w:hAnsi="宋体"/>
          <w:b/>
          <w:color w:val="000000" w:themeColor="text1"/>
          <w:sz w:val="28"/>
          <w:szCs w:val="28"/>
        </w:rPr>
        <w:t>九、项目偏离表</w:t>
      </w:r>
      <w:bookmarkEnd w:id="47"/>
    </w:p>
    <w:p w14:paraId="5B5EC8C1">
      <w:pPr>
        <w:spacing w:after="78" w:line="360" w:lineRule="auto"/>
        <w:ind w:firstLine="420"/>
        <w:rPr>
          <w:rFonts w:ascii="宋体" w:hAnsi="宋体"/>
          <w:color w:val="000000" w:themeColor="text1"/>
        </w:rPr>
      </w:pPr>
    </w:p>
    <w:p w14:paraId="32D30AB4">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3F56CFDC">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项目名称：</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 xml:space="preserve"> </w:t>
      </w:r>
    </w:p>
    <w:p w14:paraId="1B32065A">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项目编号：</w:t>
      </w:r>
      <w:r>
        <w:rPr>
          <w:rFonts w:hint="eastAsia" w:ascii="宋体" w:hAnsi="宋体"/>
          <w:color w:val="000000" w:themeColor="text1"/>
          <w:sz w:val="24"/>
          <w:szCs w:val="24"/>
          <w:u w:val="single"/>
        </w:rPr>
        <w:t xml:space="preserve">                        </w:t>
      </w:r>
    </w:p>
    <w:p w14:paraId="5B2E2046">
      <w:pPr>
        <w:widowControl/>
        <w:ind w:firstLine="480" w:firstLineChars="200"/>
        <w:textAlignment w:val="center"/>
        <w:rPr>
          <w:rFonts w:ascii="宋体" w:hAnsi="宋体"/>
          <w:color w:val="000000" w:themeColor="text1"/>
          <w:sz w:val="24"/>
          <w:szCs w:val="24"/>
          <w:u w:val="single"/>
        </w:rPr>
      </w:pPr>
      <w:r>
        <w:rPr>
          <w:rFonts w:hint="eastAsia" w:ascii="宋体" w:hAnsi="宋体"/>
          <w:color w:val="000000" w:themeColor="text1"/>
          <w:sz w:val="24"/>
          <w:szCs w:val="24"/>
        </w:rPr>
        <w:t>项 目 包：</w:t>
      </w:r>
      <w:r>
        <w:rPr>
          <w:rFonts w:hint="eastAsia" w:ascii="宋体" w:hAnsi="宋体"/>
          <w:color w:val="000000" w:themeColor="text1"/>
          <w:sz w:val="24"/>
          <w:szCs w:val="24"/>
          <w:u w:val="single"/>
        </w:rPr>
        <w:t xml:space="preserve">                        </w:t>
      </w:r>
    </w:p>
    <w:p w14:paraId="4F3672CB">
      <w:pPr>
        <w:widowControl/>
        <w:ind w:firstLine="480" w:firstLineChars="200"/>
        <w:textAlignment w:val="center"/>
        <w:rPr>
          <w:rFonts w:ascii="宋体" w:hAnsi="宋体"/>
          <w:color w:val="000000" w:themeColor="text1"/>
          <w:sz w:val="24"/>
          <w:szCs w:val="24"/>
        </w:rPr>
      </w:pPr>
    </w:p>
    <w:tbl>
      <w:tblPr>
        <w:tblStyle w:val="33"/>
        <w:tblW w:w="8945" w:type="dxa"/>
        <w:jc w:val="center"/>
        <w:tblLayout w:type="autofit"/>
        <w:tblCellMar>
          <w:top w:w="0" w:type="dxa"/>
          <w:left w:w="10" w:type="dxa"/>
          <w:bottom w:w="0" w:type="dxa"/>
          <w:right w:w="10" w:type="dxa"/>
        </w:tblCellMar>
      </w:tblPr>
      <w:tblGrid>
        <w:gridCol w:w="1951"/>
        <w:gridCol w:w="2410"/>
        <w:gridCol w:w="3118"/>
        <w:gridCol w:w="1466"/>
      </w:tblGrid>
      <w:tr w14:paraId="01670B31">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7130D9">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A985A5">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AC7666">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38BE14">
            <w:pPr>
              <w:jc w:val="center"/>
              <w:rPr>
                <w:rFonts w:ascii="宋体" w:hAnsi="宋体"/>
                <w:color w:val="000000" w:themeColor="text1"/>
              </w:rPr>
            </w:pPr>
            <w:r>
              <w:rPr>
                <w:rFonts w:hint="eastAsia" w:ascii="宋体" w:hAnsi="宋体" w:cs="宋体"/>
                <w:color w:val="000000" w:themeColor="text1"/>
              </w:rPr>
              <w:t>偏离说明</w:t>
            </w:r>
          </w:p>
        </w:tc>
      </w:tr>
      <w:tr w14:paraId="3F4C4B4F">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54504A">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D84D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0761D1">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4383E2">
            <w:pPr>
              <w:ind w:firstLine="420"/>
              <w:jc w:val="center"/>
              <w:rPr>
                <w:rFonts w:ascii="宋体" w:hAnsi="宋体"/>
                <w:color w:val="000000" w:themeColor="text1"/>
              </w:rPr>
            </w:pPr>
          </w:p>
        </w:tc>
      </w:tr>
      <w:tr w14:paraId="51F4353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1DC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D49FC3">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67D2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90145">
            <w:pPr>
              <w:ind w:firstLine="420"/>
              <w:jc w:val="center"/>
              <w:rPr>
                <w:rFonts w:ascii="宋体" w:hAnsi="宋体"/>
                <w:color w:val="000000" w:themeColor="text1"/>
              </w:rPr>
            </w:pPr>
          </w:p>
        </w:tc>
      </w:tr>
      <w:tr w14:paraId="1A5F5BE3">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C5499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244F50">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6B1370">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6DA7A4">
            <w:pPr>
              <w:ind w:firstLine="420"/>
              <w:jc w:val="center"/>
              <w:rPr>
                <w:rFonts w:ascii="宋体" w:hAnsi="宋体"/>
                <w:color w:val="000000" w:themeColor="text1"/>
              </w:rPr>
            </w:pPr>
          </w:p>
        </w:tc>
      </w:tr>
      <w:tr w14:paraId="4CFA8CA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5F6CE4">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72B8F9">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6A1C0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15A393">
            <w:pPr>
              <w:ind w:firstLine="420"/>
              <w:jc w:val="center"/>
              <w:rPr>
                <w:rFonts w:ascii="宋体" w:hAnsi="宋体"/>
                <w:color w:val="000000" w:themeColor="text1"/>
              </w:rPr>
            </w:pPr>
          </w:p>
        </w:tc>
      </w:tr>
      <w:tr w14:paraId="61D3E00C">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2D4CE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D6EA53">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ACFC1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898E82">
            <w:pPr>
              <w:ind w:firstLine="420"/>
              <w:jc w:val="center"/>
              <w:rPr>
                <w:rFonts w:ascii="宋体" w:hAnsi="宋体"/>
                <w:color w:val="000000" w:themeColor="text1"/>
              </w:rPr>
            </w:pPr>
          </w:p>
        </w:tc>
      </w:tr>
    </w:tbl>
    <w:p w14:paraId="0D363C26">
      <w:pPr>
        <w:widowControl/>
        <w:ind w:firstLine="480" w:firstLineChars="200"/>
        <w:textAlignment w:val="center"/>
        <w:rPr>
          <w:rFonts w:ascii="宋体" w:hAnsi="宋体"/>
          <w:color w:val="000000" w:themeColor="text1"/>
          <w:sz w:val="24"/>
          <w:szCs w:val="24"/>
        </w:rPr>
      </w:pPr>
    </w:p>
    <w:p w14:paraId="26EAB69B">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77B6C94">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422AA415">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38FAAD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333ACA7E">
      <w:pPr>
        <w:widowControl/>
        <w:spacing w:line="360" w:lineRule="auto"/>
        <w:ind w:firstLine="424" w:firstLineChars="177"/>
        <w:jc w:val="left"/>
        <w:rPr>
          <w:rFonts w:ascii="宋体" w:hAnsi="宋体"/>
          <w:b/>
          <w:color w:val="000000" w:themeColor="text1"/>
          <w:sz w:val="24"/>
          <w:szCs w:val="24"/>
        </w:rPr>
        <w:sectPr>
          <w:pgSz w:w="11906" w:h="16838"/>
          <w:pgMar w:top="1418" w:right="1276" w:bottom="1418" w:left="1134" w:header="567" w:footer="567" w:gutter="0"/>
          <w:cols w:space="720" w:num="1"/>
          <w:titlePg/>
          <w:docGrid w:linePitch="312" w:charSpace="0"/>
        </w:sectPr>
      </w:pPr>
      <w:r>
        <w:rPr>
          <w:rFonts w:hint="eastAsia" w:ascii="宋体" w:hAnsi="宋体" w:cs="宋体"/>
          <w:color w:val="000000" w:themeColor="text1"/>
          <w:kern w:val="0"/>
          <w:sz w:val="24"/>
          <w:szCs w:val="24"/>
        </w:rPr>
        <w:t xml:space="preserve">日期： 年 月 日 </w:t>
      </w:r>
    </w:p>
    <w:p w14:paraId="464345B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FD2006C">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77A0EF1">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372CC062">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057CD69F">
      <w:pPr>
        <w:spacing w:line="360" w:lineRule="auto"/>
        <w:rPr>
          <w:rFonts w:ascii="宋体" w:hAnsi="宋体"/>
          <w:b/>
          <w:color w:val="000000" w:themeColor="text1"/>
          <w:sz w:val="28"/>
          <w:szCs w:val="28"/>
        </w:rPr>
      </w:pPr>
      <w:r>
        <w:rPr>
          <w:rFonts w:hint="eastAsia" w:ascii="宋体" w:hAnsi="宋体"/>
          <w:b/>
          <w:color w:val="000000" w:themeColor="text1"/>
          <w:sz w:val="28"/>
          <w:szCs w:val="28"/>
        </w:rPr>
        <w:t>十四、响应人认为有必要提供的其他材料</w:t>
      </w:r>
    </w:p>
    <w:p w14:paraId="7DAE292F">
      <w:pPr>
        <w:tabs>
          <w:tab w:val="left" w:pos="2772"/>
        </w:tabs>
        <w:spacing w:line="360" w:lineRule="auto"/>
        <w:jc w:val="center"/>
        <w:rPr>
          <w:rFonts w:ascii="宋体" w:hAnsi="宋体"/>
          <w:color w:val="000000" w:themeColor="text1"/>
          <w:sz w:val="24"/>
          <w:szCs w:val="24"/>
        </w:rPr>
      </w:pPr>
    </w:p>
    <w:sectPr>
      <w:pgSz w:w="11906" w:h="16838"/>
      <w:pgMar w:top="1418" w:right="1276" w:bottom="1418" w:left="1134"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F695">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348F">
    <w:pPr>
      <w:pStyle w:val="21"/>
      <w:framePr w:wrap="around" w:vAnchor="text" w:hAnchor="margin" w:xAlign="center" w:y="1"/>
      <w:rPr>
        <w:rStyle w:val="37"/>
      </w:rPr>
    </w:pPr>
    <w:r>
      <w:fldChar w:fldCharType="begin"/>
    </w:r>
    <w:r>
      <w:rPr>
        <w:rStyle w:val="37"/>
      </w:rPr>
      <w:instrText xml:space="preserve">PAGE  </w:instrText>
    </w:r>
    <w:r>
      <w:fldChar w:fldCharType="end"/>
    </w:r>
  </w:p>
  <w:p w14:paraId="6397F5B3">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58C9">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12</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4BB76">
    <w:pPr>
      <w:pStyle w:val="23"/>
    </w:pPr>
    <w:r>
      <w:rPr>
        <w:rFonts w:hint="eastAsia"/>
      </w:rPr>
      <w:t>扬州市第三人民医院</w:t>
    </w:r>
  </w:p>
  <w:p w14:paraId="31F601B6">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1C96">
    <w:pPr>
      <w:pStyle w:val="23"/>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81B3">
    <w:pPr>
      <w:pStyle w:val="23"/>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018B92CC"/>
    <w:multiLevelType w:val="singleLevel"/>
    <w:tmpl w:val="018B92CC"/>
    <w:lvl w:ilvl="0" w:tentative="0">
      <w:start w:val="2"/>
      <w:numFmt w:val="chineseCounting"/>
      <w:suff w:val="nothing"/>
      <w:lvlText w:val="%1、"/>
      <w:lvlJc w:val="left"/>
      <w:rPr>
        <w:rFonts w:hint="eastAsia"/>
      </w:rPr>
    </w:lvl>
  </w:abstractNum>
  <w:abstractNum w:abstractNumId="2">
    <w:nsid w:val="3EB09A69"/>
    <w:multiLevelType w:val="singleLevel"/>
    <w:tmpl w:val="3EB09A6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17D1F"/>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1973"/>
    <w:rsid w:val="00052646"/>
    <w:rsid w:val="00053B95"/>
    <w:rsid w:val="000552A9"/>
    <w:rsid w:val="0006063B"/>
    <w:rsid w:val="000617BF"/>
    <w:rsid w:val="000621E6"/>
    <w:rsid w:val="000631AC"/>
    <w:rsid w:val="0006636F"/>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0B6"/>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6F8"/>
    <w:rsid w:val="001B380C"/>
    <w:rsid w:val="001B39B8"/>
    <w:rsid w:val="001B3FA8"/>
    <w:rsid w:val="001C0C22"/>
    <w:rsid w:val="001C120F"/>
    <w:rsid w:val="001C2972"/>
    <w:rsid w:val="001C6222"/>
    <w:rsid w:val="001D02F9"/>
    <w:rsid w:val="001D0958"/>
    <w:rsid w:val="001D122B"/>
    <w:rsid w:val="001D550F"/>
    <w:rsid w:val="001D565F"/>
    <w:rsid w:val="001D6295"/>
    <w:rsid w:val="001D6377"/>
    <w:rsid w:val="001D6935"/>
    <w:rsid w:val="001D70CF"/>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4F01"/>
    <w:rsid w:val="002D56DE"/>
    <w:rsid w:val="002E26B4"/>
    <w:rsid w:val="002E3615"/>
    <w:rsid w:val="002E6E2E"/>
    <w:rsid w:val="002E7330"/>
    <w:rsid w:val="002F2565"/>
    <w:rsid w:val="002F4128"/>
    <w:rsid w:val="002F45F9"/>
    <w:rsid w:val="002F4793"/>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710"/>
    <w:rsid w:val="0033098A"/>
    <w:rsid w:val="003350F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2D6F"/>
    <w:rsid w:val="003630B6"/>
    <w:rsid w:val="003646D9"/>
    <w:rsid w:val="00364820"/>
    <w:rsid w:val="0036741F"/>
    <w:rsid w:val="0036789C"/>
    <w:rsid w:val="00367907"/>
    <w:rsid w:val="00367BFE"/>
    <w:rsid w:val="0037031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7EE"/>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67F2"/>
    <w:rsid w:val="003E7B8C"/>
    <w:rsid w:val="003F1575"/>
    <w:rsid w:val="003F216B"/>
    <w:rsid w:val="003F3B20"/>
    <w:rsid w:val="003F4432"/>
    <w:rsid w:val="003F4599"/>
    <w:rsid w:val="003F4B4A"/>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3181"/>
    <w:rsid w:val="00484DA7"/>
    <w:rsid w:val="0048518C"/>
    <w:rsid w:val="0049199B"/>
    <w:rsid w:val="0049494D"/>
    <w:rsid w:val="00495C9E"/>
    <w:rsid w:val="0049617E"/>
    <w:rsid w:val="004A11ED"/>
    <w:rsid w:val="004A2DC3"/>
    <w:rsid w:val="004A3800"/>
    <w:rsid w:val="004A3A17"/>
    <w:rsid w:val="004A6EE7"/>
    <w:rsid w:val="004A6F02"/>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5A2E"/>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6F0F"/>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209D"/>
    <w:rsid w:val="005C3C5B"/>
    <w:rsid w:val="005C3EC1"/>
    <w:rsid w:val="005D0A46"/>
    <w:rsid w:val="005D223E"/>
    <w:rsid w:val="005D69D4"/>
    <w:rsid w:val="005E37D9"/>
    <w:rsid w:val="005E7F8C"/>
    <w:rsid w:val="005F0AB6"/>
    <w:rsid w:val="005F1132"/>
    <w:rsid w:val="005F2883"/>
    <w:rsid w:val="005F6958"/>
    <w:rsid w:val="00601541"/>
    <w:rsid w:val="00601DD2"/>
    <w:rsid w:val="00603675"/>
    <w:rsid w:val="00603AC3"/>
    <w:rsid w:val="006045CE"/>
    <w:rsid w:val="006049FF"/>
    <w:rsid w:val="00606B53"/>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12B2"/>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B726C"/>
    <w:rsid w:val="006C0B07"/>
    <w:rsid w:val="006C6758"/>
    <w:rsid w:val="006C730F"/>
    <w:rsid w:val="006C7F5B"/>
    <w:rsid w:val="006D00B4"/>
    <w:rsid w:val="006D035A"/>
    <w:rsid w:val="006D09BE"/>
    <w:rsid w:val="006D18CB"/>
    <w:rsid w:val="006D1A17"/>
    <w:rsid w:val="006D2EC5"/>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6880"/>
    <w:rsid w:val="00747EB4"/>
    <w:rsid w:val="007501AD"/>
    <w:rsid w:val="007505FC"/>
    <w:rsid w:val="00750D81"/>
    <w:rsid w:val="00750DC7"/>
    <w:rsid w:val="007521D0"/>
    <w:rsid w:val="00757653"/>
    <w:rsid w:val="007674C2"/>
    <w:rsid w:val="00770D2A"/>
    <w:rsid w:val="00771E6E"/>
    <w:rsid w:val="007720A9"/>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4133"/>
    <w:rsid w:val="007A646E"/>
    <w:rsid w:val="007B0687"/>
    <w:rsid w:val="007B0C2D"/>
    <w:rsid w:val="007B0F9A"/>
    <w:rsid w:val="007B29B1"/>
    <w:rsid w:val="007B3320"/>
    <w:rsid w:val="007C07B1"/>
    <w:rsid w:val="007C090D"/>
    <w:rsid w:val="007C4A79"/>
    <w:rsid w:val="007C50D4"/>
    <w:rsid w:val="007C53DC"/>
    <w:rsid w:val="007D428C"/>
    <w:rsid w:val="007D5BEC"/>
    <w:rsid w:val="007D657E"/>
    <w:rsid w:val="007D767C"/>
    <w:rsid w:val="007E09EA"/>
    <w:rsid w:val="007E2E8B"/>
    <w:rsid w:val="007E40C2"/>
    <w:rsid w:val="007E445B"/>
    <w:rsid w:val="007E47EC"/>
    <w:rsid w:val="007E5289"/>
    <w:rsid w:val="007E6D32"/>
    <w:rsid w:val="007F16E8"/>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A50B8"/>
    <w:rsid w:val="008B3571"/>
    <w:rsid w:val="008B4E5E"/>
    <w:rsid w:val="008C02C9"/>
    <w:rsid w:val="008C15FF"/>
    <w:rsid w:val="008C3E04"/>
    <w:rsid w:val="008C56C5"/>
    <w:rsid w:val="008C6C61"/>
    <w:rsid w:val="008C7A8C"/>
    <w:rsid w:val="008D207A"/>
    <w:rsid w:val="008D3666"/>
    <w:rsid w:val="008D3932"/>
    <w:rsid w:val="008D4DBE"/>
    <w:rsid w:val="008E05B1"/>
    <w:rsid w:val="008E1070"/>
    <w:rsid w:val="008E26B1"/>
    <w:rsid w:val="008E3DB5"/>
    <w:rsid w:val="008E4118"/>
    <w:rsid w:val="008F0354"/>
    <w:rsid w:val="008F24AF"/>
    <w:rsid w:val="008F648E"/>
    <w:rsid w:val="00902759"/>
    <w:rsid w:val="009050D8"/>
    <w:rsid w:val="009054A7"/>
    <w:rsid w:val="009062B4"/>
    <w:rsid w:val="00906452"/>
    <w:rsid w:val="00907B19"/>
    <w:rsid w:val="0091745D"/>
    <w:rsid w:val="00917AD9"/>
    <w:rsid w:val="00920046"/>
    <w:rsid w:val="00920A3D"/>
    <w:rsid w:val="00922DFE"/>
    <w:rsid w:val="00923EAD"/>
    <w:rsid w:val="00926662"/>
    <w:rsid w:val="00930A5A"/>
    <w:rsid w:val="009325D7"/>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55340"/>
    <w:rsid w:val="00962284"/>
    <w:rsid w:val="009639C2"/>
    <w:rsid w:val="009660D9"/>
    <w:rsid w:val="009673C2"/>
    <w:rsid w:val="0096758D"/>
    <w:rsid w:val="00971101"/>
    <w:rsid w:val="00971984"/>
    <w:rsid w:val="00974CE9"/>
    <w:rsid w:val="009766F1"/>
    <w:rsid w:val="009768F1"/>
    <w:rsid w:val="00976CF9"/>
    <w:rsid w:val="00980397"/>
    <w:rsid w:val="0098045B"/>
    <w:rsid w:val="00982CF3"/>
    <w:rsid w:val="00982F73"/>
    <w:rsid w:val="0098337C"/>
    <w:rsid w:val="0098345A"/>
    <w:rsid w:val="00991A97"/>
    <w:rsid w:val="00992CE4"/>
    <w:rsid w:val="009A2EE5"/>
    <w:rsid w:val="009A3CEB"/>
    <w:rsid w:val="009A50E7"/>
    <w:rsid w:val="009A66C8"/>
    <w:rsid w:val="009B014E"/>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2301"/>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46A40"/>
    <w:rsid w:val="00A539F0"/>
    <w:rsid w:val="00A53C5F"/>
    <w:rsid w:val="00A54636"/>
    <w:rsid w:val="00A55281"/>
    <w:rsid w:val="00A55E4D"/>
    <w:rsid w:val="00A6532D"/>
    <w:rsid w:val="00A659A2"/>
    <w:rsid w:val="00A65B27"/>
    <w:rsid w:val="00A66C99"/>
    <w:rsid w:val="00A67679"/>
    <w:rsid w:val="00A72EA2"/>
    <w:rsid w:val="00A74F1A"/>
    <w:rsid w:val="00A80A3A"/>
    <w:rsid w:val="00A81E0B"/>
    <w:rsid w:val="00A82DAB"/>
    <w:rsid w:val="00A8323E"/>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AF727F"/>
    <w:rsid w:val="00B006A8"/>
    <w:rsid w:val="00B0088F"/>
    <w:rsid w:val="00B02011"/>
    <w:rsid w:val="00B02E2A"/>
    <w:rsid w:val="00B03747"/>
    <w:rsid w:val="00B0497B"/>
    <w:rsid w:val="00B072B4"/>
    <w:rsid w:val="00B13049"/>
    <w:rsid w:val="00B2046D"/>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2381"/>
    <w:rsid w:val="00B62B26"/>
    <w:rsid w:val="00B630E9"/>
    <w:rsid w:val="00B6368C"/>
    <w:rsid w:val="00B649A1"/>
    <w:rsid w:val="00B65497"/>
    <w:rsid w:val="00B679C1"/>
    <w:rsid w:val="00B700A1"/>
    <w:rsid w:val="00B77AD2"/>
    <w:rsid w:val="00B80441"/>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7833"/>
    <w:rsid w:val="00CB2A0D"/>
    <w:rsid w:val="00CB3918"/>
    <w:rsid w:val="00CB6EE1"/>
    <w:rsid w:val="00CB7188"/>
    <w:rsid w:val="00CC553A"/>
    <w:rsid w:val="00CC5969"/>
    <w:rsid w:val="00CC62C0"/>
    <w:rsid w:val="00CC6DEE"/>
    <w:rsid w:val="00CC7975"/>
    <w:rsid w:val="00CC7A1A"/>
    <w:rsid w:val="00CD2924"/>
    <w:rsid w:val="00CD2D27"/>
    <w:rsid w:val="00CD4337"/>
    <w:rsid w:val="00CD52F8"/>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3F21"/>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7D65"/>
    <w:rsid w:val="00DE0EBE"/>
    <w:rsid w:val="00DE19BF"/>
    <w:rsid w:val="00DE353C"/>
    <w:rsid w:val="00DE3C8E"/>
    <w:rsid w:val="00DE5E9F"/>
    <w:rsid w:val="00DE691B"/>
    <w:rsid w:val="00DE6C46"/>
    <w:rsid w:val="00DE7727"/>
    <w:rsid w:val="00DE7A32"/>
    <w:rsid w:val="00DF0C17"/>
    <w:rsid w:val="00DF201B"/>
    <w:rsid w:val="00DF37CD"/>
    <w:rsid w:val="00DF5077"/>
    <w:rsid w:val="00DF5BBF"/>
    <w:rsid w:val="00E0027F"/>
    <w:rsid w:val="00E01279"/>
    <w:rsid w:val="00E01310"/>
    <w:rsid w:val="00E0324C"/>
    <w:rsid w:val="00E03F6B"/>
    <w:rsid w:val="00E0425B"/>
    <w:rsid w:val="00E0634D"/>
    <w:rsid w:val="00E13563"/>
    <w:rsid w:val="00E13EAE"/>
    <w:rsid w:val="00E14F0F"/>
    <w:rsid w:val="00E15249"/>
    <w:rsid w:val="00E155BD"/>
    <w:rsid w:val="00E171F3"/>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6BDA"/>
    <w:rsid w:val="00E57E59"/>
    <w:rsid w:val="00E606C8"/>
    <w:rsid w:val="00E62A02"/>
    <w:rsid w:val="00E63CAB"/>
    <w:rsid w:val="00E63DA6"/>
    <w:rsid w:val="00E702AB"/>
    <w:rsid w:val="00E71DB8"/>
    <w:rsid w:val="00E75DE3"/>
    <w:rsid w:val="00E76FB9"/>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A6757"/>
    <w:rsid w:val="00EB06CB"/>
    <w:rsid w:val="00EB0D91"/>
    <w:rsid w:val="00EB2E66"/>
    <w:rsid w:val="00EB3B9E"/>
    <w:rsid w:val="00EB6E0B"/>
    <w:rsid w:val="00EC0E3F"/>
    <w:rsid w:val="00EC17C7"/>
    <w:rsid w:val="00EC2813"/>
    <w:rsid w:val="00EC31EA"/>
    <w:rsid w:val="00EC3B62"/>
    <w:rsid w:val="00EC412F"/>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A7A"/>
    <w:rsid w:val="00F03E56"/>
    <w:rsid w:val="00F05525"/>
    <w:rsid w:val="00F056BF"/>
    <w:rsid w:val="00F109F3"/>
    <w:rsid w:val="00F13DFE"/>
    <w:rsid w:val="00F152B6"/>
    <w:rsid w:val="00F158B8"/>
    <w:rsid w:val="00F24D53"/>
    <w:rsid w:val="00F24DC1"/>
    <w:rsid w:val="00F25A58"/>
    <w:rsid w:val="00F271FA"/>
    <w:rsid w:val="00F27D1C"/>
    <w:rsid w:val="00F310FA"/>
    <w:rsid w:val="00F31E6F"/>
    <w:rsid w:val="00F32D50"/>
    <w:rsid w:val="00F373BF"/>
    <w:rsid w:val="00F40BC5"/>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3BB5"/>
    <w:rsid w:val="00F64411"/>
    <w:rsid w:val="00F64421"/>
    <w:rsid w:val="00F67008"/>
    <w:rsid w:val="00F72FA7"/>
    <w:rsid w:val="00F74975"/>
    <w:rsid w:val="00F75D96"/>
    <w:rsid w:val="00F76D82"/>
    <w:rsid w:val="00F811E0"/>
    <w:rsid w:val="00F82012"/>
    <w:rsid w:val="00F82A86"/>
    <w:rsid w:val="00F863ED"/>
    <w:rsid w:val="00F872C7"/>
    <w:rsid w:val="00F91826"/>
    <w:rsid w:val="00F91A68"/>
    <w:rsid w:val="00F94168"/>
    <w:rsid w:val="00F976C6"/>
    <w:rsid w:val="00F97896"/>
    <w:rsid w:val="00FA22E2"/>
    <w:rsid w:val="00FA61D1"/>
    <w:rsid w:val="00FA7C77"/>
    <w:rsid w:val="00FB37E1"/>
    <w:rsid w:val="00FB4533"/>
    <w:rsid w:val="00FB5887"/>
    <w:rsid w:val="00FC08D7"/>
    <w:rsid w:val="00FC3257"/>
    <w:rsid w:val="00FC3362"/>
    <w:rsid w:val="00FC3C25"/>
    <w:rsid w:val="00FC43BE"/>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99213C"/>
    <w:rsid w:val="01C012ED"/>
    <w:rsid w:val="02AF4C54"/>
    <w:rsid w:val="03761BA0"/>
    <w:rsid w:val="03CF0F1D"/>
    <w:rsid w:val="03DC45B9"/>
    <w:rsid w:val="04910D1F"/>
    <w:rsid w:val="05681A7F"/>
    <w:rsid w:val="05BE3D95"/>
    <w:rsid w:val="06557B85"/>
    <w:rsid w:val="066872CB"/>
    <w:rsid w:val="06BB2E8E"/>
    <w:rsid w:val="06E31D05"/>
    <w:rsid w:val="07E55609"/>
    <w:rsid w:val="0842480A"/>
    <w:rsid w:val="08A242C7"/>
    <w:rsid w:val="099D55B0"/>
    <w:rsid w:val="0A002BCE"/>
    <w:rsid w:val="0A0748F5"/>
    <w:rsid w:val="0A332EC1"/>
    <w:rsid w:val="0B4035F5"/>
    <w:rsid w:val="0B7F7B23"/>
    <w:rsid w:val="0B80466E"/>
    <w:rsid w:val="0BBD15A9"/>
    <w:rsid w:val="0C2D15F3"/>
    <w:rsid w:val="0C833643"/>
    <w:rsid w:val="0CBD0903"/>
    <w:rsid w:val="0D444B80"/>
    <w:rsid w:val="0D570FA3"/>
    <w:rsid w:val="0D8D29CB"/>
    <w:rsid w:val="0DB3092E"/>
    <w:rsid w:val="0E7019A5"/>
    <w:rsid w:val="0E726137"/>
    <w:rsid w:val="0EAC6E81"/>
    <w:rsid w:val="0EC04B60"/>
    <w:rsid w:val="0F8B118C"/>
    <w:rsid w:val="0FD2175C"/>
    <w:rsid w:val="10156CA8"/>
    <w:rsid w:val="10282537"/>
    <w:rsid w:val="10A25F15"/>
    <w:rsid w:val="10AE33DE"/>
    <w:rsid w:val="10DF7836"/>
    <w:rsid w:val="113118BF"/>
    <w:rsid w:val="116A6B7F"/>
    <w:rsid w:val="118714DF"/>
    <w:rsid w:val="11A77DD3"/>
    <w:rsid w:val="127A5093"/>
    <w:rsid w:val="12C624DB"/>
    <w:rsid w:val="13B011C1"/>
    <w:rsid w:val="14C71A2E"/>
    <w:rsid w:val="14DC7D7E"/>
    <w:rsid w:val="15321A33"/>
    <w:rsid w:val="16287735"/>
    <w:rsid w:val="1711641B"/>
    <w:rsid w:val="1743234C"/>
    <w:rsid w:val="17E00954"/>
    <w:rsid w:val="180A2E6A"/>
    <w:rsid w:val="18825DD6"/>
    <w:rsid w:val="18CF6494"/>
    <w:rsid w:val="18F953B8"/>
    <w:rsid w:val="19094E23"/>
    <w:rsid w:val="1934019F"/>
    <w:rsid w:val="193A152D"/>
    <w:rsid w:val="1981715C"/>
    <w:rsid w:val="198A6011"/>
    <w:rsid w:val="19ED43C7"/>
    <w:rsid w:val="1A2C356C"/>
    <w:rsid w:val="1BBD091F"/>
    <w:rsid w:val="1C1861C9"/>
    <w:rsid w:val="1C3D55BC"/>
    <w:rsid w:val="1C536B8E"/>
    <w:rsid w:val="1C7134B8"/>
    <w:rsid w:val="1D4F1E2F"/>
    <w:rsid w:val="1D9220A3"/>
    <w:rsid w:val="1DDD694B"/>
    <w:rsid w:val="1E2E3EF1"/>
    <w:rsid w:val="1E380731"/>
    <w:rsid w:val="1E716868"/>
    <w:rsid w:val="1E9B1C7D"/>
    <w:rsid w:val="1EAC6AFA"/>
    <w:rsid w:val="1EE870FD"/>
    <w:rsid w:val="1F15637C"/>
    <w:rsid w:val="1FAA740D"/>
    <w:rsid w:val="21C13AD1"/>
    <w:rsid w:val="22431452"/>
    <w:rsid w:val="22A30143"/>
    <w:rsid w:val="23403BE4"/>
    <w:rsid w:val="23A822E2"/>
    <w:rsid w:val="24D12D46"/>
    <w:rsid w:val="2555184F"/>
    <w:rsid w:val="25E46AA9"/>
    <w:rsid w:val="27562F2C"/>
    <w:rsid w:val="276F5D5F"/>
    <w:rsid w:val="27982240"/>
    <w:rsid w:val="279D7B8A"/>
    <w:rsid w:val="27A720F5"/>
    <w:rsid w:val="28A36AFF"/>
    <w:rsid w:val="28BE27A6"/>
    <w:rsid w:val="28D82814"/>
    <w:rsid w:val="28FC235B"/>
    <w:rsid w:val="297D752F"/>
    <w:rsid w:val="29B017CF"/>
    <w:rsid w:val="29B65845"/>
    <w:rsid w:val="2A395A41"/>
    <w:rsid w:val="2AAE58D7"/>
    <w:rsid w:val="2C2422F5"/>
    <w:rsid w:val="2C703684"/>
    <w:rsid w:val="2D0A14EA"/>
    <w:rsid w:val="2D0F6B01"/>
    <w:rsid w:val="2D392502"/>
    <w:rsid w:val="2D4F03B2"/>
    <w:rsid w:val="2DA11C53"/>
    <w:rsid w:val="2DEE021C"/>
    <w:rsid w:val="2DFE0923"/>
    <w:rsid w:val="2E427FFA"/>
    <w:rsid w:val="2F4B1946"/>
    <w:rsid w:val="2F6649D2"/>
    <w:rsid w:val="2FA555EB"/>
    <w:rsid w:val="2FCC21FD"/>
    <w:rsid w:val="30086CAC"/>
    <w:rsid w:val="30475715"/>
    <w:rsid w:val="306647F7"/>
    <w:rsid w:val="30A52CAE"/>
    <w:rsid w:val="30BF545A"/>
    <w:rsid w:val="30DB6CFA"/>
    <w:rsid w:val="31FC7390"/>
    <w:rsid w:val="32144BB9"/>
    <w:rsid w:val="32230959"/>
    <w:rsid w:val="3304474F"/>
    <w:rsid w:val="33995376"/>
    <w:rsid w:val="34034EE6"/>
    <w:rsid w:val="34681B9C"/>
    <w:rsid w:val="347A52C4"/>
    <w:rsid w:val="350E3FC1"/>
    <w:rsid w:val="35312FF1"/>
    <w:rsid w:val="35493D7B"/>
    <w:rsid w:val="35550544"/>
    <w:rsid w:val="35A457E0"/>
    <w:rsid w:val="365F5A8E"/>
    <w:rsid w:val="37081A16"/>
    <w:rsid w:val="3731289B"/>
    <w:rsid w:val="378B3228"/>
    <w:rsid w:val="37E66CE8"/>
    <w:rsid w:val="38DD7AB3"/>
    <w:rsid w:val="393C0D5F"/>
    <w:rsid w:val="39423DBA"/>
    <w:rsid w:val="3A3500A9"/>
    <w:rsid w:val="3A4122C4"/>
    <w:rsid w:val="3AA23F50"/>
    <w:rsid w:val="3ADB5B41"/>
    <w:rsid w:val="3B021A53"/>
    <w:rsid w:val="3B642DE4"/>
    <w:rsid w:val="3B9878E7"/>
    <w:rsid w:val="3BB70A8F"/>
    <w:rsid w:val="3C29300F"/>
    <w:rsid w:val="3CC72DC1"/>
    <w:rsid w:val="3D347EBE"/>
    <w:rsid w:val="3D3C5667"/>
    <w:rsid w:val="3D57464A"/>
    <w:rsid w:val="3D6577DF"/>
    <w:rsid w:val="3D9D1F07"/>
    <w:rsid w:val="3E676755"/>
    <w:rsid w:val="3E6D1F74"/>
    <w:rsid w:val="40291830"/>
    <w:rsid w:val="40412A32"/>
    <w:rsid w:val="40A84E4B"/>
    <w:rsid w:val="40ED6D01"/>
    <w:rsid w:val="410B53A2"/>
    <w:rsid w:val="41F30347"/>
    <w:rsid w:val="41F63994"/>
    <w:rsid w:val="424B36B4"/>
    <w:rsid w:val="427E6886"/>
    <w:rsid w:val="42FC76D0"/>
    <w:rsid w:val="43754D8C"/>
    <w:rsid w:val="43BD12DC"/>
    <w:rsid w:val="44136B6E"/>
    <w:rsid w:val="451C5E07"/>
    <w:rsid w:val="453749EF"/>
    <w:rsid w:val="45375398"/>
    <w:rsid w:val="4541761C"/>
    <w:rsid w:val="455F7AA2"/>
    <w:rsid w:val="45815C6A"/>
    <w:rsid w:val="45B44292"/>
    <w:rsid w:val="46250CEB"/>
    <w:rsid w:val="46C36B78"/>
    <w:rsid w:val="47174AD8"/>
    <w:rsid w:val="476F66C2"/>
    <w:rsid w:val="477C109A"/>
    <w:rsid w:val="47A143A2"/>
    <w:rsid w:val="47F619E6"/>
    <w:rsid w:val="483B2A48"/>
    <w:rsid w:val="48EC789E"/>
    <w:rsid w:val="48FA1FBB"/>
    <w:rsid w:val="4A121587"/>
    <w:rsid w:val="4A2F038B"/>
    <w:rsid w:val="4A8775A0"/>
    <w:rsid w:val="4AD66A58"/>
    <w:rsid w:val="4AEA6060"/>
    <w:rsid w:val="4B353046"/>
    <w:rsid w:val="4B895879"/>
    <w:rsid w:val="4BC3299F"/>
    <w:rsid w:val="4BF67322"/>
    <w:rsid w:val="4C1D4605"/>
    <w:rsid w:val="4C5D5F15"/>
    <w:rsid w:val="4C9170DB"/>
    <w:rsid w:val="4D2717ED"/>
    <w:rsid w:val="4D6420F9"/>
    <w:rsid w:val="4EB20F86"/>
    <w:rsid w:val="4ED22BA5"/>
    <w:rsid w:val="4EDD2E38"/>
    <w:rsid w:val="4F471CD3"/>
    <w:rsid w:val="4F7242E4"/>
    <w:rsid w:val="4FB07B78"/>
    <w:rsid w:val="4FC11A85"/>
    <w:rsid w:val="4FDA48F5"/>
    <w:rsid w:val="50075C4C"/>
    <w:rsid w:val="50D47596"/>
    <w:rsid w:val="51A4340C"/>
    <w:rsid w:val="51A96C75"/>
    <w:rsid w:val="51B050F8"/>
    <w:rsid w:val="528648C0"/>
    <w:rsid w:val="52BE04FE"/>
    <w:rsid w:val="52CB684F"/>
    <w:rsid w:val="530A5D6A"/>
    <w:rsid w:val="5371731E"/>
    <w:rsid w:val="53823C12"/>
    <w:rsid w:val="53933738"/>
    <w:rsid w:val="53DE3680"/>
    <w:rsid w:val="541F267B"/>
    <w:rsid w:val="54216F96"/>
    <w:rsid w:val="545D1960"/>
    <w:rsid w:val="54684BC5"/>
    <w:rsid w:val="5471136C"/>
    <w:rsid w:val="556D1D67"/>
    <w:rsid w:val="5627460C"/>
    <w:rsid w:val="56464A92"/>
    <w:rsid w:val="578962FF"/>
    <w:rsid w:val="57FB7AFE"/>
    <w:rsid w:val="588C7E23"/>
    <w:rsid w:val="58A66F7F"/>
    <w:rsid w:val="596A5C75"/>
    <w:rsid w:val="5A710301"/>
    <w:rsid w:val="5B0B62AA"/>
    <w:rsid w:val="5C381321"/>
    <w:rsid w:val="5C90552B"/>
    <w:rsid w:val="5C950521"/>
    <w:rsid w:val="5CA07520"/>
    <w:rsid w:val="5E0462CD"/>
    <w:rsid w:val="5E1804D5"/>
    <w:rsid w:val="5E7D150A"/>
    <w:rsid w:val="5FE23C7A"/>
    <w:rsid w:val="6008725C"/>
    <w:rsid w:val="6057789C"/>
    <w:rsid w:val="607B5C80"/>
    <w:rsid w:val="60A40EB9"/>
    <w:rsid w:val="61C94F22"/>
    <w:rsid w:val="61CB0541"/>
    <w:rsid w:val="61EA40A5"/>
    <w:rsid w:val="62326812"/>
    <w:rsid w:val="62402CDD"/>
    <w:rsid w:val="62816E52"/>
    <w:rsid w:val="62CC58A4"/>
    <w:rsid w:val="6337144B"/>
    <w:rsid w:val="635B76A3"/>
    <w:rsid w:val="63A15AED"/>
    <w:rsid w:val="63C67212"/>
    <w:rsid w:val="63FF44D2"/>
    <w:rsid w:val="641E0DFC"/>
    <w:rsid w:val="647E5804"/>
    <w:rsid w:val="64850E7B"/>
    <w:rsid w:val="64AC465A"/>
    <w:rsid w:val="64DD4813"/>
    <w:rsid w:val="651370D8"/>
    <w:rsid w:val="652C5AFB"/>
    <w:rsid w:val="654B64F1"/>
    <w:rsid w:val="65711400"/>
    <w:rsid w:val="65B41774"/>
    <w:rsid w:val="65E676F8"/>
    <w:rsid w:val="662326FA"/>
    <w:rsid w:val="664663E8"/>
    <w:rsid w:val="664F1741"/>
    <w:rsid w:val="669929BC"/>
    <w:rsid w:val="66AA2E1B"/>
    <w:rsid w:val="66D91016"/>
    <w:rsid w:val="66FA76D5"/>
    <w:rsid w:val="672F50CE"/>
    <w:rsid w:val="676D4DFE"/>
    <w:rsid w:val="677D0530"/>
    <w:rsid w:val="67917B37"/>
    <w:rsid w:val="67EC2B21"/>
    <w:rsid w:val="67FB4A72"/>
    <w:rsid w:val="681F15E7"/>
    <w:rsid w:val="69553162"/>
    <w:rsid w:val="69AE0AD0"/>
    <w:rsid w:val="6A0C7949"/>
    <w:rsid w:val="6AAE60B2"/>
    <w:rsid w:val="6AB65670"/>
    <w:rsid w:val="6AFA59F3"/>
    <w:rsid w:val="6B1C3B0E"/>
    <w:rsid w:val="6B286A04"/>
    <w:rsid w:val="6BA951C5"/>
    <w:rsid w:val="6CC659BC"/>
    <w:rsid w:val="6CCD33BF"/>
    <w:rsid w:val="6CE748DC"/>
    <w:rsid w:val="6D2531FB"/>
    <w:rsid w:val="6D5C4F3B"/>
    <w:rsid w:val="6D7E290C"/>
    <w:rsid w:val="6DCA78FF"/>
    <w:rsid w:val="6E423939"/>
    <w:rsid w:val="6E957F0D"/>
    <w:rsid w:val="6EA3225C"/>
    <w:rsid w:val="6EC569E3"/>
    <w:rsid w:val="6F3670AA"/>
    <w:rsid w:val="6FEA4F48"/>
    <w:rsid w:val="708F6107"/>
    <w:rsid w:val="70DD5255"/>
    <w:rsid w:val="70E203EB"/>
    <w:rsid w:val="71267542"/>
    <w:rsid w:val="7238577F"/>
    <w:rsid w:val="724A7260"/>
    <w:rsid w:val="72541E8D"/>
    <w:rsid w:val="72551311"/>
    <w:rsid w:val="72975A47"/>
    <w:rsid w:val="72B67374"/>
    <w:rsid w:val="736E1351"/>
    <w:rsid w:val="74C4154C"/>
    <w:rsid w:val="75BC0475"/>
    <w:rsid w:val="760522CC"/>
    <w:rsid w:val="761C5CA8"/>
    <w:rsid w:val="765B026D"/>
    <w:rsid w:val="7706409E"/>
    <w:rsid w:val="772269FE"/>
    <w:rsid w:val="78896E24"/>
    <w:rsid w:val="78A27DF6"/>
    <w:rsid w:val="79AC25AE"/>
    <w:rsid w:val="79B31B8F"/>
    <w:rsid w:val="7A5769BE"/>
    <w:rsid w:val="7A8252DB"/>
    <w:rsid w:val="7A9D618C"/>
    <w:rsid w:val="7AA9783C"/>
    <w:rsid w:val="7AE55D78"/>
    <w:rsid w:val="7BD007D6"/>
    <w:rsid w:val="7BFC4F61"/>
    <w:rsid w:val="7C5D7262"/>
    <w:rsid w:val="7C993E71"/>
    <w:rsid w:val="7D02607A"/>
    <w:rsid w:val="7D9817C8"/>
    <w:rsid w:val="7DF10ED8"/>
    <w:rsid w:val="7E026C41"/>
    <w:rsid w:val="7E3272EA"/>
    <w:rsid w:val="7EB15E2C"/>
    <w:rsid w:val="7EBC7738"/>
    <w:rsid w:val="7F0C50E2"/>
    <w:rsid w:val="7F0C7D42"/>
    <w:rsid w:val="7FE7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8">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0">
    <w:name w:val="table of authorities"/>
    <w:basedOn w:val="1"/>
    <w:next w:val="1"/>
    <w:qFormat/>
    <w:uiPriority w:val="0"/>
    <w:pPr>
      <w:ind w:left="420"/>
    </w:pPr>
  </w:style>
  <w:style w:type="paragraph" w:styleId="11">
    <w:name w:val="Normal Indent"/>
    <w:basedOn w:val="1"/>
    <w:next w:val="1"/>
    <w:link w:val="55"/>
    <w:qFormat/>
    <w:uiPriority w:val="0"/>
    <w:pPr>
      <w:spacing w:after="120"/>
      <w:ind w:firstLine="420"/>
    </w:pPr>
    <w:rPr>
      <w:szCs w:val="20"/>
    </w:rPr>
  </w:style>
  <w:style w:type="paragraph" w:styleId="12">
    <w:name w:val="Document Map"/>
    <w:basedOn w:val="1"/>
    <w:link w:val="56"/>
    <w:semiHidden/>
    <w:qFormat/>
    <w:uiPriority w:val="0"/>
    <w:pPr>
      <w:shd w:val="clear" w:color="auto" w:fill="000080"/>
    </w:pPr>
    <w:rPr>
      <w:kern w:val="0"/>
      <w:sz w:val="20"/>
      <w:szCs w:val="24"/>
    </w:rPr>
  </w:style>
  <w:style w:type="paragraph" w:styleId="13">
    <w:name w:val="annotation text"/>
    <w:basedOn w:val="1"/>
    <w:link w:val="57"/>
    <w:unhideWhenUsed/>
    <w:qFormat/>
    <w:uiPriority w:val="99"/>
    <w:pPr>
      <w:jc w:val="left"/>
    </w:pPr>
  </w:style>
  <w:style w:type="paragraph" w:styleId="14">
    <w:name w:val="Body Text"/>
    <w:basedOn w:val="1"/>
    <w:next w:val="1"/>
    <w:link w:val="58"/>
    <w:unhideWhenUsed/>
    <w:qFormat/>
    <w:uiPriority w:val="99"/>
    <w:pPr>
      <w:spacing w:after="120"/>
    </w:pPr>
  </w:style>
  <w:style w:type="paragraph" w:styleId="15">
    <w:name w:val="Body Text Indent"/>
    <w:basedOn w:val="1"/>
    <w:next w:val="1"/>
    <w:link w:val="46"/>
    <w:qFormat/>
    <w:uiPriority w:val="0"/>
    <w:pPr>
      <w:ind w:firstLine="720" w:firstLineChars="225"/>
    </w:pPr>
    <w:rPr>
      <w:rFonts w:ascii="仿宋_GB2312" w:eastAsia="仿宋_GB2312"/>
      <w:kern w:val="0"/>
      <w:sz w:val="32"/>
      <w:szCs w:val="24"/>
    </w:rPr>
  </w:style>
  <w:style w:type="paragraph" w:styleId="16">
    <w:name w:val="toc 3"/>
    <w:basedOn w:val="1"/>
    <w:next w:val="1"/>
    <w:unhideWhenUsed/>
    <w:qFormat/>
    <w:uiPriority w:val="39"/>
    <w:pPr>
      <w:widowControl/>
      <w:spacing w:after="100" w:line="276" w:lineRule="auto"/>
      <w:ind w:left="440"/>
      <w:jc w:val="left"/>
    </w:pPr>
    <w:rPr>
      <w:kern w:val="0"/>
      <w:sz w:val="22"/>
    </w:rPr>
  </w:style>
  <w:style w:type="paragraph" w:styleId="17">
    <w:name w:val="Plain Text"/>
    <w:basedOn w:val="1"/>
    <w:next w:val="11"/>
    <w:link w:val="59"/>
    <w:qFormat/>
    <w:uiPriority w:val="0"/>
    <w:rPr>
      <w:rFonts w:ascii="宋体" w:hAnsi="Courier New"/>
      <w:kern w:val="0"/>
      <w:sz w:val="20"/>
      <w:szCs w:val="21"/>
    </w:rPr>
  </w:style>
  <w:style w:type="paragraph" w:styleId="18">
    <w:name w:val="Date"/>
    <w:basedOn w:val="1"/>
    <w:next w:val="1"/>
    <w:link w:val="60"/>
    <w:qFormat/>
    <w:uiPriority w:val="0"/>
    <w:pPr>
      <w:ind w:left="100" w:leftChars="2500"/>
    </w:pPr>
    <w:rPr>
      <w:kern w:val="0"/>
      <w:sz w:val="20"/>
      <w:szCs w:val="24"/>
    </w:rPr>
  </w:style>
  <w:style w:type="paragraph" w:styleId="19">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0">
    <w:name w:val="Balloon Text"/>
    <w:basedOn w:val="1"/>
    <w:link w:val="62"/>
    <w:semiHidden/>
    <w:qFormat/>
    <w:uiPriority w:val="0"/>
    <w:rPr>
      <w:kern w:val="0"/>
      <w:sz w:val="18"/>
      <w:szCs w:val="18"/>
    </w:rPr>
  </w:style>
  <w:style w:type="paragraph" w:styleId="21">
    <w:name w:val="footer"/>
    <w:basedOn w:val="1"/>
    <w:link w:val="63"/>
    <w:unhideWhenUsed/>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pPr>
      <w:widowControl/>
      <w:spacing w:after="100" w:line="276" w:lineRule="auto"/>
      <w:jc w:val="left"/>
    </w:pPr>
    <w:rPr>
      <w:kern w:val="0"/>
      <w:sz w:val="22"/>
    </w:rPr>
  </w:style>
  <w:style w:type="paragraph" w:styleId="25">
    <w:name w:val="Body Text Indent 3"/>
    <w:basedOn w:val="1"/>
    <w:link w:val="65"/>
    <w:qFormat/>
    <w:uiPriority w:val="0"/>
    <w:pPr>
      <w:ind w:firstLine="639" w:firstLineChars="213"/>
    </w:pPr>
    <w:rPr>
      <w:rFonts w:ascii="仿宋_GB2312" w:eastAsia="仿宋_GB2312"/>
      <w:kern w:val="0"/>
      <w:sz w:val="30"/>
      <w:szCs w:val="24"/>
    </w:rPr>
  </w:style>
  <w:style w:type="paragraph" w:styleId="26">
    <w:name w:val="toc 2"/>
    <w:basedOn w:val="1"/>
    <w:next w:val="1"/>
    <w:unhideWhenUsed/>
    <w:qFormat/>
    <w:uiPriority w:val="39"/>
    <w:pPr>
      <w:widowControl/>
      <w:spacing w:after="100" w:line="276" w:lineRule="auto"/>
      <w:ind w:left="220"/>
      <w:jc w:val="left"/>
    </w:pPr>
    <w:rPr>
      <w:kern w:val="0"/>
      <w:sz w:val="22"/>
    </w:rPr>
  </w:style>
  <w:style w:type="paragraph" w:styleId="27">
    <w:name w:val="Body Text 2"/>
    <w:basedOn w:val="1"/>
    <w:link w:val="66"/>
    <w:qFormat/>
    <w:uiPriority w:val="0"/>
    <w:pPr>
      <w:spacing w:line="560" w:lineRule="exact"/>
    </w:pPr>
    <w:rPr>
      <w:rFonts w:ascii="仿宋_GB2312" w:eastAsia="仿宋_GB2312"/>
      <w:kern w:val="0"/>
      <w:sz w:val="30"/>
      <w:szCs w:val="24"/>
    </w:rPr>
  </w:style>
  <w:style w:type="paragraph" w:styleId="28">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3"/>
    <w:next w:val="13"/>
    <w:link w:val="68"/>
    <w:semiHidden/>
    <w:qFormat/>
    <w:uiPriority w:val="0"/>
    <w:rPr>
      <w:b/>
      <w:bCs/>
      <w:kern w:val="0"/>
      <w:sz w:val="20"/>
      <w:szCs w:val="24"/>
    </w:rPr>
  </w:style>
  <w:style w:type="paragraph" w:styleId="31">
    <w:name w:val="Body Text First Indent"/>
    <w:basedOn w:val="14"/>
    <w:link w:val="69"/>
    <w:qFormat/>
    <w:uiPriority w:val="0"/>
    <w:pPr>
      <w:ind w:firstLine="420" w:firstLineChars="100"/>
    </w:pPr>
    <w:rPr>
      <w:kern w:val="0"/>
      <w:sz w:val="20"/>
      <w:szCs w:val="24"/>
    </w:rPr>
  </w:style>
  <w:style w:type="paragraph" w:styleId="32">
    <w:name w:val="Body Text First Indent 2"/>
    <w:basedOn w:val="15"/>
    <w:next w:val="1"/>
    <w:link w:val="70"/>
    <w:unhideWhenUsed/>
    <w:qFormat/>
    <w:uiPriority w:val="99"/>
    <w:pPr>
      <w:spacing w:after="120"/>
      <w:ind w:left="420" w:leftChars="200" w:firstLine="420" w:firstLineChars="200"/>
    </w:pPr>
    <w:rPr>
      <w:kern w:val="2"/>
      <w:sz w:val="21"/>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Char"/>
    <w:link w:val="15"/>
    <w:qFormat/>
    <w:uiPriority w:val="0"/>
    <w:rPr>
      <w:rFonts w:ascii="仿宋_GB2312" w:eastAsia="仿宋_GB2312"/>
      <w:sz w:val="32"/>
      <w:szCs w:val="24"/>
    </w:rPr>
  </w:style>
  <w:style w:type="character" w:customStyle="1" w:styleId="47">
    <w:name w:val="标题 1 Char"/>
    <w:link w:val="2"/>
    <w:qFormat/>
    <w:uiPriority w:val="0"/>
    <w:rPr>
      <w:rFonts w:ascii="Times New Roman" w:hAnsi="Times New Roman" w:eastAsia="宋体" w:cs="Times New Roman"/>
      <w:b/>
      <w:bCs/>
      <w:kern w:val="44"/>
      <w:sz w:val="44"/>
      <w:szCs w:val="44"/>
    </w:rPr>
  </w:style>
  <w:style w:type="character" w:customStyle="1" w:styleId="48">
    <w:name w:val="标题 2 Char"/>
    <w:link w:val="3"/>
    <w:qFormat/>
    <w:uiPriority w:val="0"/>
    <w:rPr>
      <w:rFonts w:ascii="Arial" w:hAnsi="Arial" w:eastAsia="黑体" w:cs="Times New Roman"/>
      <w:b/>
      <w:bCs/>
      <w:sz w:val="32"/>
      <w:szCs w:val="32"/>
    </w:rPr>
  </w:style>
  <w:style w:type="character" w:customStyle="1" w:styleId="49">
    <w:name w:val="标题 3 Char"/>
    <w:link w:val="4"/>
    <w:qFormat/>
    <w:uiPriority w:val="0"/>
    <w:rPr>
      <w:rFonts w:ascii="Times New Roman" w:hAnsi="Times New Roman" w:eastAsia="黑体" w:cs="Times New Roman"/>
      <w:b/>
      <w:bCs/>
      <w:sz w:val="32"/>
      <w:szCs w:val="32"/>
    </w:rPr>
  </w:style>
  <w:style w:type="character" w:customStyle="1" w:styleId="50">
    <w:name w:val="标题 4 Char"/>
    <w:link w:val="5"/>
    <w:qFormat/>
    <w:uiPriority w:val="0"/>
    <w:rPr>
      <w:rFonts w:ascii="Arial" w:hAnsi="Arial" w:eastAsia="黑体" w:cs="Times New Roman"/>
      <w:b/>
      <w:bCs/>
      <w:sz w:val="28"/>
      <w:szCs w:val="28"/>
    </w:rPr>
  </w:style>
  <w:style w:type="character" w:customStyle="1" w:styleId="51">
    <w:name w:val="标题 5 Char"/>
    <w:link w:val="6"/>
    <w:qFormat/>
    <w:uiPriority w:val="0"/>
    <w:rPr>
      <w:rFonts w:ascii="Times New Roman" w:hAnsi="Times New Roman" w:eastAsia="黑体" w:cs="Times New Roman"/>
      <w:b/>
      <w:bCs/>
      <w:sz w:val="28"/>
      <w:szCs w:val="28"/>
    </w:rPr>
  </w:style>
  <w:style w:type="character" w:customStyle="1" w:styleId="52">
    <w:name w:val="标题 6 Char"/>
    <w:link w:val="7"/>
    <w:qFormat/>
    <w:uiPriority w:val="0"/>
    <w:rPr>
      <w:rFonts w:ascii="Arial" w:hAnsi="Arial" w:eastAsia="黑体" w:cs="Times New Roman"/>
      <w:b/>
      <w:bCs/>
      <w:sz w:val="24"/>
      <w:szCs w:val="24"/>
    </w:rPr>
  </w:style>
  <w:style w:type="character" w:customStyle="1" w:styleId="53">
    <w:name w:val="标题 7 Char"/>
    <w:link w:val="8"/>
    <w:qFormat/>
    <w:uiPriority w:val="0"/>
    <w:rPr>
      <w:rFonts w:ascii="Times New Roman" w:hAnsi="Times New Roman" w:eastAsia="宋体" w:cs="Times New Roman"/>
      <w:b/>
      <w:bCs/>
      <w:sz w:val="24"/>
      <w:szCs w:val="24"/>
    </w:rPr>
  </w:style>
  <w:style w:type="character" w:customStyle="1" w:styleId="54">
    <w:name w:val="标题 8 Char"/>
    <w:link w:val="9"/>
    <w:qFormat/>
    <w:uiPriority w:val="0"/>
    <w:rPr>
      <w:rFonts w:ascii="Arial" w:hAnsi="Arial" w:eastAsia="黑体" w:cs="Times New Roman"/>
      <w:sz w:val="24"/>
      <w:szCs w:val="24"/>
    </w:rPr>
  </w:style>
  <w:style w:type="character" w:customStyle="1" w:styleId="55">
    <w:name w:val="正文缩进 Char"/>
    <w:link w:val="11"/>
    <w:qFormat/>
    <w:uiPriority w:val="0"/>
    <w:rPr>
      <w:rFonts w:ascii="Times New Roman" w:hAnsi="Times New Roman"/>
      <w:kern w:val="2"/>
      <w:sz w:val="21"/>
    </w:rPr>
  </w:style>
  <w:style w:type="character" w:customStyle="1" w:styleId="56">
    <w:name w:val="文档结构图 Char"/>
    <w:link w:val="12"/>
    <w:semiHidden/>
    <w:qFormat/>
    <w:uiPriority w:val="0"/>
    <w:rPr>
      <w:rFonts w:ascii="Times New Roman" w:hAnsi="Times New Roman" w:eastAsia="宋体" w:cs="Times New Roman"/>
      <w:szCs w:val="24"/>
      <w:shd w:val="clear" w:color="auto" w:fill="000080"/>
    </w:rPr>
  </w:style>
  <w:style w:type="character" w:customStyle="1" w:styleId="57">
    <w:name w:val="批注文字 Char"/>
    <w:link w:val="13"/>
    <w:semiHidden/>
    <w:qFormat/>
    <w:uiPriority w:val="99"/>
  </w:style>
  <w:style w:type="character" w:customStyle="1" w:styleId="58">
    <w:name w:val="正文文本 Char"/>
    <w:link w:val="14"/>
    <w:semiHidden/>
    <w:qFormat/>
    <w:uiPriority w:val="99"/>
  </w:style>
  <w:style w:type="character" w:customStyle="1" w:styleId="59">
    <w:name w:val="纯文本 Char"/>
    <w:link w:val="17"/>
    <w:qFormat/>
    <w:uiPriority w:val="0"/>
    <w:rPr>
      <w:rFonts w:ascii="宋体" w:hAnsi="Courier New" w:eastAsia="宋体" w:cs="Times New Roman"/>
      <w:szCs w:val="21"/>
    </w:rPr>
  </w:style>
  <w:style w:type="character" w:customStyle="1" w:styleId="60">
    <w:name w:val="日期 Char"/>
    <w:link w:val="18"/>
    <w:qFormat/>
    <w:uiPriority w:val="0"/>
    <w:rPr>
      <w:rFonts w:ascii="Times New Roman" w:hAnsi="Times New Roman" w:eastAsia="宋体" w:cs="Times New Roman"/>
      <w:szCs w:val="24"/>
    </w:rPr>
  </w:style>
  <w:style w:type="character" w:customStyle="1" w:styleId="61">
    <w:name w:val="正文文本缩进 2 Char"/>
    <w:link w:val="19"/>
    <w:qFormat/>
    <w:uiPriority w:val="0"/>
    <w:rPr>
      <w:rFonts w:ascii="仿宋_GB2312" w:hAnsi="Times New Roman" w:eastAsia="仿宋_GB2312" w:cs="Times New Roman"/>
      <w:sz w:val="32"/>
      <w:szCs w:val="24"/>
    </w:rPr>
  </w:style>
  <w:style w:type="character" w:customStyle="1" w:styleId="62">
    <w:name w:val="批注框文本 Char"/>
    <w:link w:val="20"/>
    <w:semiHidden/>
    <w:qFormat/>
    <w:uiPriority w:val="0"/>
    <w:rPr>
      <w:rFonts w:ascii="Times New Roman" w:hAnsi="Times New Roman" w:eastAsia="宋体" w:cs="Times New Roman"/>
      <w:sz w:val="18"/>
      <w:szCs w:val="18"/>
    </w:rPr>
  </w:style>
  <w:style w:type="character" w:customStyle="1" w:styleId="63">
    <w:name w:val="页脚 Char"/>
    <w:link w:val="21"/>
    <w:qFormat/>
    <w:uiPriority w:val="99"/>
    <w:rPr>
      <w:sz w:val="18"/>
      <w:szCs w:val="18"/>
    </w:rPr>
  </w:style>
  <w:style w:type="character" w:customStyle="1" w:styleId="64">
    <w:name w:val="页眉 Char"/>
    <w:link w:val="23"/>
    <w:qFormat/>
    <w:uiPriority w:val="99"/>
    <w:rPr>
      <w:sz w:val="18"/>
      <w:szCs w:val="18"/>
    </w:rPr>
  </w:style>
  <w:style w:type="character" w:customStyle="1" w:styleId="65">
    <w:name w:val="正文文本缩进 3 Char"/>
    <w:link w:val="25"/>
    <w:qFormat/>
    <w:uiPriority w:val="0"/>
    <w:rPr>
      <w:rFonts w:ascii="仿宋_GB2312" w:hAnsi="Times New Roman" w:eastAsia="仿宋_GB2312" w:cs="Times New Roman"/>
      <w:sz w:val="30"/>
      <w:szCs w:val="24"/>
    </w:rPr>
  </w:style>
  <w:style w:type="character" w:customStyle="1" w:styleId="66">
    <w:name w:val="正文文本 2 Char"/>
    <w:link w:val="27"/>
    <w:qFormat/>
    <w:uiPriority w:val="0"/>
    <w:rPr>
      <w:rFonts w:ascii="仿宋_GB2312" w:hAnsi="Times New Roman" w:eastAsia="仿宋_GB2312" w:cs="Times New Roman"/>
      <w:sz w:val="30"/>
      <w:szCs w:val="24"/>
    </w:rPr>
  </w:style>
  <w:style w:type="character" w:customStyle="1" w:styleId="67">
    <w:name w:val="HTML 预设格式 Char"/>
    <w:link w:val="28"/>
    <w:qFormat/>
    <w:uiPriority w:val="0"/>
    <w:rPr>
      <w:rFonts w:ascii="宋体" w:hAnsi="宋体" w:eastAsia="宋体" w:cs="宋体"/>
      <w:color w:val="000000"/>
      <w:kern w:val="0"/>
      <w:szCs w:val="21"/>
    </w:rPr>
  </w:style>
  <w:style w:type="character" w:customStyle="1" w:styleId="68">
    <w:name w:val="批注主题 Char"/>
    <w:link w:val="30"/>
    <w:semiHidden/>
    <w:qFormat/>
    <w:uiPriority w:val="0"/>
    <w:rPr>
      <w:rFonts w:ascii="Times New Roman" w:hAnsi="Times New Roman" w:eastAsia="宋体" w:cs="Times New Roman"/>
      <w:b/>
      <w:bCs/>
      <w:szCs w:val="24"/>
    </w:rPr>
  </w:style>
  <w:style w:type="character" w:customStyle="1" w:styleId="69">
    <w:name w:val="正文首行缩进 Char"/>
    <w:link w:val="31"/>
    <w:qFormat/>
    <w:uiPriority w:val="0"/>
    <w:rPr>
      <w:rFonts w:ascii="Times New Roman" w:hAnsi="Times New Roman" w:eastAsia="宋体" w:cs="Times New Roman"/>
      <w:szCs w:val="24"/>
    </w:rPr>
  </w:style>
  <w:style w:type="character" w:customStyle="1" w:styleId="70">
    <w:name w:val="正文首行缩进 2 Char"/>
    <w:link w:val="32"/>
    <w:semiHidden/>
    <w:qFormat/>
    <w:uiPriority w:val="99"/>
    <w:rPr>
      <w:rFonts w:ascii="仿宋_GB2312" w:eastAsia="仿宋_GB2312"/>
      <w:kern w:val="2"/>
      <w:sz w:val="21"/>
      <w:szCs w:val="22"/>
    </w:rPr>
  </w:style>
  <w:style w:type="character" w:customStyle="1" w:styleId="71">
    <w:name w:val="标题 2 Char_0"/>
    <w:link w:val="72"/>
    <w:semiHidden/>
    <w:qFormat/>
    <w:uiPriority w:val="0"/>
    <w:rPr>
      <w:rFonts w:ascii="Arial" w:hAnsi="Arial" w:eastAsia="黑体" w:cs="Times New Roman"/>
      <w:b/>
      <w:bCs/>
      <w:kern w:val="0"/>
      <w:sz w:val="32"/>
      <w:szCs w:val="32"/>
    </w:rPr>
  </w:style>
  <w:style w:type="paragraph" w:customStyle="1" w:styleId="72">
    <w:name w:val="标题 2_0"/>
    <w:basedOn w:val="73"/>
    <w:next w:val="73"/>
    <w:link w:val="71"/>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3">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4">
    <w:name w:val="style3"/>
    <w:qFormat/>
    <w:uiPriority w:val="0"/>
  </w:style>
  <w:style w:type="character" w:customStyle="1" w:styleId="75">
    <w:name w:val="Default Char"/>
    <w:link w:val="76"/>
    <w:qFormat/>
    <w:uiPriority w:val="0"/>
    <w:rPr>
      <w:rFonts w:ascii="宋体" w:cs="宋体"/>
      <w:color w:val="000000"/>
      <w:kern w:val="2"/>
      <w:sz w:val="24"/>
      <w:szCs w:val="24"/>
      <w:lang w:val="en-US" w:eastAsia="zh-CN" w:bidi="ar-SA"/>
    </w:rPr>
  </w:style>
  <w:style w:type="paragraph" w:customStyle="1" w:styleId="76">
    <w:name w:val="Default"/>
    <w:link w:val="75"/>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7">
    <w:name w:val="Char Char2"/>
    <w:qFormat/>
    <w:uiPriority w:val="0"/>
    <w:rPr>
      <w:kern w:val="2"/>
      <w:sz w:val="18"/>
      <w:szCs w:val="18"/>
    </w:rPr>
  </w:style>
  <w:style w:type="character" w:customStyle="1" w:styleId="78">
    <w:name w:val="正文文本缩进 Char1"/>
    <w:semiHidden/>
    <w:qFormat/>
    <w:uiPriority w:val="99"/>
  </w:style>
  <w:style w:type="character" w:customStyle="1" w:styleId="79">
    <w:name w:val="Footer Char1"/>
    <w:qFormat/>
    <w:uiPriority w:val="0"/>
    <w:rPr>
      <w:rFonts w:cs="Times New Roman"/>
      <w:sz w:val="18"/>
      <w:szCs w:val="18"/>
      <w:lang w:bidi="ar-SA"/>
    </w:rPr>
  </w:style>
  <w:style w:type="character" w:customStyle="1" w:styleId="80">
    <w:name w:val="纯文本 Char_0_0"/>
    <w:link w:val="81"/>
    <w:qFormat/>
    <w:uiPriority w:val="0"/>
    <w:rPr>
      <w:rFonts w:ascii="宋体" w:hAnsi="Courier New" w:eastAsia="宋体" w:cs="Times New Roman"/>
      <w:kern w:val="0"/>
      <w:sz w:val="20"/>
      <w:szCs w:val="21"/>
    </w:rPr>
  </w:style>
  <w:style w:type="paragraph" w:customStyle="1" w:styleId="81">
    <w:name w:val="纯文本_0_0"/>
    <w:basedOn w:val="82"/>
    <w:link w:val="80"/>
    <w:unhideWhenUsed/>
    <w:qFormat/>
    <w:uiPriority w:val="0"/>
    <w:rPr>
      <w:rFonts w:ascii="宋体" w:hAnsi="Courier New"/>
      <w:kern w:val="0"/>
      <w:sz w:val="20"/>
      <w:szCs w:val="21"/>
    </w:rPr>
  </w:style>
  <w:style w:type="paragraph" w:customStyle="1" w:styleId="82">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EmailStyle88"/>
    <w:qFormat/>
    <w:uiPriority w:val="0"/>
    <w:rPr>
      <w:rFonts w:ascii="Arial" w:hAnsi="Arial" w:eastAsia="宋体" w:cs="Arial"/>
      <w:color w:val="auto"/>
      <w:sz w:val="20"/>
    </w:rPr>
  </w:style>
  <w:style w:type="character" w:customStyle="1" w:styleId="84">
    <w:name w:val="grame"/>
    <w:qFormat/>
    <w:uiPriority w:val="0"/>
  </w:style>
  <w:style w:type="character" w:customStyle="1" w:styleId="85">
    <w:name w:val="Heading 4 Char"/>
    <w:qFormat/>
    <w:uiPriority w:val="0"/>
    <w:rPr>
      <w:rFonts w:ascii="Cambria" w:hAnsi="Cambria" w:eastAsia="宋体" w:cs="Cambria"/>
      <w:b/>
      <w:bCs/>
      <w:sz w:val="28"/>
      <w:szCs w:val="28"/>
      <w:lang w:bidi="ar-SA"/>
    </w:rPr>
  </w:style>
  <w:style w:type="character" w:customStyle="1" w:styleId="86">
    <w:name w:val="标题 2 Char_0_0"/>
    <w:link w:val="87"/>
    <w:qFormat/>
    <w:uiPriority w:val="1"/>
    <w:rPr>
      <w:rFonts w:ascii="黑体" w:hAnsi="黑体" w:eastAsia="黑体" w:cs="Times New Roman"/>
      <w:b/>
      <w:bCs/>
      <w:kern w:val="0"/>
      <w:sz w:val="32"/>
      <w:szCs w:val="32"/>
      <w:lang w:eastAsia="en-US"/>
    </w:rPr>
  </w:style>
  <w:style w:type="paragraph" w:customStyle="1" w:styleId="87">
    <w:name w:val="标题 21"/>
    <w:basedOn w:val="88"/>
    <w:next w:val="88"/>
    <w:link w:val="86"/>
    <w:qFormat/>
    <w:uiPriority w:val="1"/>
    <w:pPr>
      <w:spacing w:before="5"/>
      <w:ind w:left="109"/>
      <w:jc w:val="left"/>
      <w:outlineLvl w:val="1"/>
    </w:pPr>
    <w:rPr>
      <w:rFonts w:ascii="黑体" w:hAnsi="黑体" w:eastAsia="黑体"/>
      <w:b/>
      <w:bCs/>
      <w:sz w:val="32"/>
      <w:szCs w:val="32"/>
      <w:lang w:eastAsia="en-US"/>
    </w:rPr>
  </w:style>
  <w:style w:type="paragraph" w:customStyle="1" w:styleId="88">
    <w:name w:val="正文1"/>
    <w:qFormat/>
    <w:uiPriority w:val="0"/>
    <w:pPr>
      <w:widowControl w:val="0"/>
      <w:jc w:val="both"/>
    </w:pPr>
    <w:rPr>
      <w:rFonts w:ascii="Times New Roman" w:hAnsi="Times New Roman" w:eastAsia="宋体" w:cs="Times New Roman"/>
      <w:lang w:val="en-US" w:eastAsia="zh-CN" w:bidi="ar-SA"/>
    </w:rPr>
  </w:style>
  <w:style w:type="character" w:customStyle="1" w:styleId="89">
    <w:name w:val="正文缩进 Char1_0_0"/>
    <w:link w:val="90"/>
    <w:qFormat/>
    <w:locked/>
    <w:uiPriority w:val="0"/>
    <w:rPr>
      <w:rFonts w:ascii="Times New Roman" w:hAnsi="Times New Roman" w:eastAsia="宋体" w:cs="Times New Roman"/>
      <w:kern w:val="0"/>
      <w:sz w:val="20"/>
      <w:szCs w:val="20"/>
    </w:rPr>
  </w:style>
  <w:style w:type="paragraph" w:customStyle="1" w:styleId="90">
    <w:name w:val="正文缩进_0_0"/>
    <w:basedOn w:val="82"/>
    <w:link w:val="89"/>
    <w:unhideWhenUsed/>
    <w:qFormat/>
    <w:uiPriority w:val="0"/>
    <w:pPr>
      <w:ind w:firstLine="420" w:firstLineChars="200"/>
    </w:pPr>
    <w:rPr>
      <w:kern w:val="0"/>
      <w:sz w:val="20"/>
      <w:szCs w:val="20"/>
    </w:rPr>
  </w:style>
  <w:style w:type="character" w:customStyle="1" w:styleId="91">
    <w:name w:val="ca-18"/>
    <w:qFormat/>
    <w:uiPriority w:val="0"/>
  </w:style>
  <w:style w:type="paragraph" w:customStyle="1" w:styleId="92">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Char Char Char Char Char Char Char Char Char Char"/>
    <w:basedOn w:val="1"/>
    <w:qFormat/>
    <w:uiPriority w:val="0"/>
    <w:rPr>
      <w:rFonts w:ascii="Tahoma" w:hAnsi="Tahoma"/>
      <w:sz w:val="24"/>
      <w:szCs w:val="20"/>
    </w:rPr>
  </w:style>
  <w:style w:type="paragraph" w:customStyle="1" w:styleId="94">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5">
    <w:name w:val="Char1"/>
    <w:basedOn w:val="1"/>
    <w:qFormat/>
    <w:uiPriority w:val="0"/>
    <w:pPr>
      <w:tabs>
        <w:tab w:val="left" w:pos="360"/>
      </w:tabs>
      <w:spacing w:line="480" w:lineRule="auto"/>
      <w:ind w:left="360" w:right="202" w:firstLine="360"/>
    </w:pPr>
    <w:rPr>
      <w:sz w:val="24"/>
      <w:szCs w:val="24"/>
    </w:rPr>
  </w:style>
  <w:style w:type="paragraph" w:customStyle="1" w:styleId="96">
    <w:name w:val="Char Char Char"/>
    <w:basedOn w:val="1"/>
    <w:qFormat/>
    <w:uiPriority w:val="0"/>
    <w:rPr>
      <w:rFonts w:ascii="Tahoma" w:hAnsi="Tahoma"/>
      <w:sz w:val="24"/>
      <w:szCs w:val="20"/>
    </w:rPr>
  </w:style>
  <w:style w:type="paragraph" w:customStyle="1" w:styleId="9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Char11"/>
    <w:basedOn w:val="1"/>
    <w:qFormat/>
    <w:uiPriority w:val="0"/>
    <w:rPr>
      <w:rFonts w:ascii="Tahoma" w:hAnsi="Tahoma"/>
      <w:sz w:val="24"/>
      <w:szCs w:val="20"/>
    </w:rPr>
  </w:style>
  <w:style w:type="paragraph" w:customStyle="1" w:styleId="99">
    <w:name w:val="小条"/>
    <w:basedOn w:val="1"/>
    <w:qFormat/>
    <w:uiPriority w:val="0"/>
    <w:pPr>
      <w:spacing w:before="60" w:line="360" w:lineRule="exact"/>
    </w:pPr>
    <w:rPr>
      <w:rFonts w:ascii="黑体"/>
      <w:szCs w:val="20"/>
    </w:rPr>
  </w:style>
  <w:style w:type="paragraph" w:customStyle="1" w:styleId="100">
    <w:name w:val="普通正文"/>
    <w:basedOn w:val="1"/>
    <w:qFormat/>
    <w:uiPriority w:val="0"/>
    <w:pPr>
      <w:adjustRightInd w:val="0"/>
      <w:ind w:firstLine="425"/>
      <w:jc w:val="left"/>
      <w:textAlignment w:val="baseline"/>
    </w:pPr>
    <w:rPr>
      <w:rFonts w:ascii="宋体"/>
      <w:kern w:val="0"/>
      <w:sz w:val="20"/>
      <w:szCs w:val="24"/>
    </w:rPr>
  </w:style>
  <w:style w:type="paragraph" w:customStyle="1" w:styleId="101">
    <w:name w:val="特点"/>
    <w:basedOn w:val="1"/>
    <w:qFormat/>
    <w:uiPriority w:val="0"/>
    <w:pPr>
      <w:spacing w:line="360" w:lineRule="auto"/>
      <w:jc w:val="center"/>
    </w:pPr>
    <w:rPr>
      <w:rFonts w:ascii="Arial" w:hAnsi="Arial"/>
      <w:sz w:val="24"/>
      <w:szCs w:val="20"/>
    </w:rPr>
  </w:style>
  <w:style w:type="paragraph" w:customStyle="1" w:styleId="1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1"/>
    <w:basedOn w:val="88"/>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4">
    <w:name w:val="Char12"/>
    <w:basedOn w:val="1"/>
    <w:qFormat/>
    <w:uiPriority w:val="0"/>
    <w:rPr>
      <w:szCs w:val="24"/>
    </w:rPr>
  </w:style>
  <w:style w:type="paragraph" w:customStyle="1" w:styleId="105">
    <w:name w:val="Normal_0"/>
    <w:qFormat/>
    <w:uiPriority w:val="0"/>
    <w:rPr>
      <w:rFonts w:ascii="Times New Roman" w:hAnsi="Times New Roman" w:eastAsia="宋体" w:cs="Times New Roman"/>
      <w:sz w:val="24"/>
      <w:szCs w:val="24"/>
      <w:lang w:val="en-US" w:eastAsia="zh-CN" w:bidi="ar-SA"/>
    </w:rPr>
  </w:style>
  <w:style w:type="paragraph" w:customStyle="1" w:styleId="106">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7">
    <w:name w:val="Char"/>
    <w:basedOn w:val="1"/>
    <w:qFormat/>
    <w:uiPriority w:val="0"/>
    <w:pPr>
      <w:tabs>
        <w:tab w:val="left" w:pos="360"/>
      </w:tabs>
    </w:pPr>
    <w:rPr>
      <w:sz w:val="24"/>
      <w:szCs w:val="24"/>
    </w:rPr>
  </w:style>
  <w:style w:type="paragraph" w:customStyle="1" w:styleId="108">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纯文本1"/>
    <w:basedOn w:val="92"/>
    <w:qFormat/>
    <w:uiPriority w:val="0"/>
    <w:rPr>
      <w:rFonts w:ascii="宋体" w:hAnsi="Courier New" w:eastAsia="Times New Roman"/>
      <w:kern w:val="2"/>
      <w:sz w:val="21"/>
      <w:szCs w:val="21"/>
    </w:rPr>
  </w:style>
  <w:style w:type="paragraph" w:customStyle="1" w:styleId="11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0_3"/>
    <w:qFormat/>
    <w:uiPriority w:val="0"/>
    <w:rPr>
      <w:rFonts w:ascii="黑体" w:hAnsi="黑体" w:eastAsia="黑体" w:cs="Times New Roman"/>
      <w:b/>
      <w:sz w:val="32"/>
      <w:szCs w:val="24"/>
      <w:lang w:val="en-US" w:eastAsia="zh-CN" w:bidi="ar-SA"/>
    </w:rPr>
  </w:style>
  <w:style w:type="paragraph" w:customStyle="1" w:styleId="112">
    <w:name w:val="Normal_2"/>
    <w:qFormat/>
    <w:uiPriority w:val="0"/>
    <w:pPr>
      <w:widowControl w:val="0"/>
      <w:jc w:val="both"/>
    </w:pPr>
    <w:rPr>
      <w:rFonts w:ascii="Times New Roman" w:hAnsi="Times New Roman" w:eastAsia="宋体" w:cs="Times New Roman"/>
      <w:lang w:val="en-US" w:eastAsia="zh-CN" w:bidi="ar-SA"/>
    </w:rPr>
  </w:style>
  <w:style w:type="paragraph" w:customStyle="1" w:styleId="113">
    <w:name w:val="列出段落1_0"/>
    <w:basedOn w:val="114"/>
    <w:qFormat/>
    <w:uiPriority w:val="0"/>
    <w:pPr>
      <w:ind w:firstLine="200" w:firstLineChars="200"/>
    </w:pPr>
    <w:rPr>
      <w:rFonts w:eastAsia="Times New Roman"/>
    </w:rPr>
  </w:style>
  <w:style w:type="paragraph" w:customStyle="1" w:styleId="114">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文本缩进 21"/>
    <w:basedOn w:val="105"/>
    <w:qFormat/>
    <w:uiPriority w:val="0"/>
    <w:pPr>
      <w:widowControl w:val="0"/>
      <w:spacing w:line="540" w:lineRule="exact"/>
      <w:ind w:firstLine="225" w:firstLineChars="225"/>
    </w:pPr>
    <w:rPr>
      <w:rFonts w:ascii="仿宋_GB2312" w:eastAsia="仿宋_GB2312"/>
      <w:sz w:val="32"/>
    </w:rPr>
  </w:style>
  <w:style w:type="paragraph" w:customStyle="1" w:styleId="118">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9">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Normal_7_0"/>
    <w:qFormat/>
    <w:uiPriority w:val="0"/>
    <w:rPr>
      <w:rFonts w:ascii="黑体" w:hAnsi="黑体" w:eastAsia="黑体" w:cs="Times New Roman"/>
      <w:b/>
      <w:sz w:val="32"/>
      <w:szCs w:val="24"/>
      <w:lang w:val="en-US" w:eastAsia="zh-CN" w:bidi="ar-SA"/>
    </w:rPr>
  </w:style>
  <w:style w:type="paragraph" w:customStyle="1" w:styleId="122">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3">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文本缩进 2_0"/>
    <w:basedOn w:val="73"/>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8">
    <w:name w:val="Normal_18"/>
    <w:qFormat/>
    <w:uiPriority w:val="0"/>
    <w:rPr>
      <w:rFonts w:ascii="黑体" w:hAnsi="黑体" w:eastAsia="黑体" w:cs="Times New Roman"/>
      <w:b/>
      <w:sz w:val="32"/>
      <w:szCs w:val="24"/>
      <w:lang w:val="en-US" w:eastAsia="zh-CN" w:bidi="ar-SA"/>
    </w:rPr>
  </w:style>
  <w:style w:type="paragraph" w:customStyle="1" w:styleId="129">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30">
    <w:name w:val="Normal_0_1"/>
    <w:qFormat/>
    <w:uiPriority w:val="0"/>
    <w:pPr>
      <w:adjustRightInd w:val="0"/>
      <w:snapToGrid w:val="0"/>
    </w:pPr>
    <w:rPr>
      <w:rFonts w:ascii="Tahoma" w:hAnsi="Tahoma" w:eastAsia="微软雅黑" w:cs="Times New Roman"/>
      <w:lang w:val="en-US" w:eastAsia="zh-CN" w:bidi="ar-SA"/>
    </w:rPr>
  </w:style>
  <w:style w:type="paragraph" w:customStyle="1" w:styleId="131">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9"/>
    <w:qFormat/>
    <w:uiPriority w:val="0"/>
    <w:pPr>
      <w:widowControl w:val="0"/>
      <w:jc w:val="both"/>
    </w:pPr>
    <w:rPr>
      <w:rFonts w:ascii="Times New Roman" w:hAnsi="Times New Roman" w:eastAsia="宋体" w:cs="Times New Roman"/>
      <w:lang w:val="en-US" w:eastAsia="zh-CN" w:bidi="ar-SA"/>
    </w:rPr>
  </w:style>
  <w:style w:type="paragraph" w:customStyle="1" w:styleId="133">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5">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Normal_0_2"/>
    <w:qFormat/>
    <w:uiPriority w:val="0"/>
    <w:pPr>
      <w:adjustRightInd w:val="0"/>
      <w:snapToGrid w:val="0"/>
    </w:pPr>
    <w:rPr>
      <w:rFonts w:ascii="Tahoma" w:hAnsi="Tahoma" w:eastAsia="微软雅黑" w:cs="Times New Roman"/>
      <w:lang w:val="en-US" w:eastAsia="zh-CN" w:bidi="ar-SA"/>
    </w:rPr>
  </w:style>
  <w:style w:type="paragraph" w:customStyle="1" w:styleId="137">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3">
    <w:name w:val="List Paragraph"/>
    <w:basedOn w:val="1"/>
    <w:qFormat/>
    <w:uiPriority w:val="0"/>
    <w:pPr>
      <w:ind w:firstLine="420" w:firstLineChars="200"/>
    </w:pPr>
    <w:rPr>
      <w:rFonts w:ascii="Calibri" w:hAnsi="Calibri"/>
    </w:rPr>
  </w:style>
  <w:style w:type="paragraph" w:customStyle="1" w:styleId="144">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1"/>
    <w:qFormat/>
    <w:uiPriority w:val="0"/>
    <w:rPr>
      <w:rFonts w:ascii="黑体" w:hAnsi="黑体" w:eastAsia="黑体" w:cs="Times New Roman"/>
      <w:b/>
      <w:sz w:val="32"/>
      <w:szCs w:val="24"/>
      <w:lang w:val="en-US" w:eastAsia="zh-CN" w:bidi="ar-SA"/>
    </w:rPr>
  </w:style>
  <w:style w:type="paragraph" w:customStyle="1" w:styleId="149">
    <w:name w:val="Normal_2_0"/>
    <w:qFormat/>
    <w:uiPriority w:val="0"/>
    <w:rPr>
      <w:rFonts w:ascii="黑体" w:hAnsi="黑体" w:eastAsia="黑体" w:cs="Times New Roman"/>
      <w:b/>
      <w:sz w:val="32"/>
      <w:szCs w:val="24"/>
      <w:lang w:val="en-US" w:eastAsia="zh-CN" w:bidi="ar-SA"/>
    </w:rPr>
  </w:style>
  <w:style w:type="paragraph" w:customStyle="1" w:styleId="150">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Normal_9_0"/>
    <w:qFormat/>
    <w:uiPriority w:val="0"/>
    <w:rPr>
      <w:rFonts w:ascii="黑体" w:hAnsi="黑体" w:eastAsia="黑体" w:cs="Times New Roman"/>
      <w:b/>
      <w:sz w:val="32"/>
      <w:szCs w:val="24"/>
      <w:lang w:val="en-US" w:eastAsia="zh-CN" w:bidi="ar-SA"/>
    </w:rPr>
  </w:style>
  <w:style w:type="paragraph" w:customStyle="1" w:styleId="154">
    <w:name w:val="Normal_10_0"/>
    <w:qFormat/>
    <w:uiPriority w:val="0"/>
    <w:rPr>
      <w:rFonts w:ascii="黑体" w:hAnsi="黑体" w:eastAsia="黑体" w:cs="Times New Roman"/>
      <w:b/>
      <w:sz w:val="32"/>
      <w:szCs w:val="24"/>
      <w:lang w:val="en-US" w:eastAsia="zh-CN" w:bidi="ar-SA"/>
    </w:rPr>
  </w:style>
  <w:style w:type="paragraph" w:customStyle="1" w:styleId="155">
    <w:name w:val="Normal_12_0"/>
    <w:qFormat/>
    <w:uiPriority w:val="0"/>
    <w:rPr>
      <w:rFonts w:ascii="黑体" w:hAnsi="黑体" w:eastAsia="黑体" w:cs="Times New Roman"/>
      <w:b/>
      <w:sz w:val="32"/>
      <w:szCs w:val="24"/>
      <w:lang w:val="en-US" w:eastAsia="zh-CN" w:bidi="ar-SA"/>
    </w:rPr>
  </w:style>
  <w:style w:type="paragraph" w:customStyle="1" w:styleId="156">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9">
    <w:name w:val="Normal_20"/>
    <w:qFormat/>
    <w:uiPriority w:val="0"/>
    <w:rPr>
      <w:rFonts w:ascii="Times New Roman" w:hAnsi="Times New Roman" w:eastAsia="Times New Roman" w:cs="Times New Roman"/>
      <w:sz w:val="24"/>
      <w:szCs w:val="24"/>
      <w:lang w:val="en-US" w:eastAsia="zh-CN" w:bidi="ar-SA"/>
    </w:rPr>
  </w:style>
  <w:style w:type="table" w:customStyle="1" w:styleId="160">
    <w:name w:val="Table Normal"/>
    <w:qFormat/>
    <w:uiPriority w:val="0"/>
    <w:tblPr>
      <w:tblCellMar>
        <w:top w:w="0" w:type="dxa"/>
        <w:left w:w="0" w:type="dxa"/>
        <w:bottom w:w="0" w:type="dxa"/>
        <w:right w:w="0" w:type="dxa"/>
      </w:tblCellMar>
    </w:tblPr>
  </w:style>
  <w:style w:type="paragraph" w:customStyle="1" w:styleId="161">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2">
    <w:name w:val="批注文字 Char1"/>
    <w:qFormat/>
    <w:uiPriority w:val="99"/>
    <w:rPr>
      <w:rFonts w:ascii="Times New Roman" w:hAnsi="Times New Roman" w:eastAsia="宋体" w:cs="Times New Roman"/>
      <w:szCs w:val="24"/>
    </w:rPr>
  </w:style>
  <w:style w:type="character" w:customStyle="1" w:styleId="163">
    <w:name w:val="未处理的提及1"/>
    <w:unhideWhenUsed/>
    <w:qFormat/>
    <w:uiPriority w:val="99"/>
    <w:rPr>
      <w:color w:val="605E5C"/>
      <w:shd w:val="clear" w:color="auto" w:fill="E1DFDD"/>
    </w:rPr>
  </w:style>
  <w:style w:type="character" w:customStyle="1" w:styleId="164">
    <w:name w:val="页脚 字符"/>
    <w:qFormat/>
    <w:uiPriority w:val="99"/>
  </w:style>
  <w:style w:type="paragraph" w:customStyle="1" w:styleId="165">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6">
    <w:name w:val="首行缩进"/>
    <w:basedOn w:val="1"/>
    <w:next w:val="1"/>
    <w:qFormat/>
    <w:uiPriority w:val="0"/>
    <w:pPr>
      <w:spacing w:line="360" w:lineRule="auto"/>
      <w:jc w:val="left"/>
    </w:pPr>
    <w:rPr>
      <w:rFonts w:ascii="宋体" w:hAnsi="宋体"/>
    </w:rPr>
  </w:style>
  <w:style w:type="paragraph" w:customStyle="1" w:styleId="167">
    <w:name w:val="标题二、"/>
    <w:basedOn w:val="1"/>
    <w:qFormat/>
    <w:uiPriority w:val="99"/>
    <w:pPr>
      <w:spacing w:line="360" w:lineRule="auto"/>
      <w:ind w:firstLine="200" w:firstLineChars="200"/>
      <w:outlineLvl w:val="2"/>
    </w:pPr>
    <w:rPr>
      <w:rFonts w:ascii="宋体" w:hAnsi="宋体"/>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6404</Words>
  <Characters>6582</Characters>
  <Lines>142</Lines>
  <Paragraphs>40</Paragraphs>
  <TotalTime>29</TotalTime>
  <ScaleCrop>false</ScaleCrop>
  <LinksUpToDate>false</LinksUpToDate>
  <CharactersWithSpaces>6723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成颖</cp:lastModifiedBy>
  <cp:lastPrinted>2024-11-27T02:06:00Z</cp:lastPrinted>
  <dcterms:modified xsi:type="dcterms:W3CDTF">2025-09-19T08:43:26Z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5C4B1D3052394FDEA805DB1628FE00A3_13</vt:lpwstr>
  </property>
  <property fmtid="{D5CDD505-2E9C-101B-9397-08002B2CF9AE}" pid="4" name="KSOTemplateDocerSaveRecord">
    <vt:lpwstr>eyJoZGlkIjoiNzVkOTMzYWVjZjI3Zjk2ODI2NDdmOGM0MzcwYjc1ZjkiLCJ1c2VySWQiOiIxNjQ5MzA0NjA3In0=</vt:lpwstr>
  </property>
</Properties>
</file>